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2F89" w14:textId="77777777" w:rsidR="00605A6D" w:rsidRPr="00605A6D" w:rsidRDefault="00605A6D" w:rsidP="00605A6D">
      <w:pPr>
        <w:spacing w:after="0"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05A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</w:textInput>
          </w:ffData>
        </w:fldChar>
      </w:r>
      <w:r w:rsidRPr="00605A6D">
        <w:rPr>
          <w:rFonts w:ascii="Arial" w:hAnsi="Arial" w:cs="Arial"/>
          <w:sz w:val="24"/>
          <w:szCs w:val="24"/>
        </w:rPr>
        <w:instrText xml:space="preserve"> FORMTEXT </w:instrText>
      </w:r>
      <w:r w:rsidRPr="00605A6D">
        <w:rPr>
          <w:rFonts w:ascii="Arial" w:hAnsi="Arial" w:cs="Arial"/>
          <w:sz w:val="24"/>
          <w:szCs w:val="24"/>
        </w:rPr>
      </w:r>
      <w:r w:rsidRPr="00605A6D">
        <w:rPr>
          <w:rFonts w:ascii="Arial" w:hAnsi="Arial" w:cs="Arial"/>
          <w:sz w:val="24"/>
          <w:szCs w:val="24"/>
        </w:rPr>
        <w:fldChar w:fldCharType="separate"/>
      </w:r>
      <w:r w:rsidRPr="00605A6D">
        <w:rPr>
          <w:rFonts w:ascii="Arial" w:hAnsi="Arial" w:cs="Arial"/>
          <w:noProof/>
          <w:sz w:val="24"/>
          <w:szCs w:val="24"/>
        </w:rPr>
        <w:t>Local</w:t>
      </w:r>
      <w:r w:rsidRPr="00605A6D">
        <w:rPr>
          <w:rFonts w:ascii="Arial" w:hAnsi="Arial" w:cs="Arial"/>
          <w:sz w:val="24"/>
          <w:szCs w:val="24"/>
        </w:rPr>
        <w:fldChar w:fldCharType="end"/>
      </w:r>
      <w:r w:rsidRPr="00605A6D">
        <w:rPr>
          <w:rFonts w:ascii="Arial" w:hAnsi="Arial" w:cs="Arial"/>
          <w:sz w:val="24"/>
          <w:szCs w:val="24"/>
        </w:rPr>
        <w:t>,</w:t>
      </w:r>
      <w:r w:rsidRPr="00605A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605A6D">
        <w:rPr>
          <w:rFonts w:ascii="Arial" w:hAnsi="Arial" w:cs="Arial"/>
          <w:sz w:val="24"/>
          <w:szCs w:val="24"/>
        </w:rPr>
        <w:instrText xml:space="preserve"> FORMTEXT </w:instrText>
      </w:r>
      <w:r w:rsidRPr="00605A6D">
        <w:rPr>
          <w:rFonts w:ascii="Arial" w:hAnsi="Arial" w:cs="Arial"/>
          <w:sz w:val="24"/>
          <w:szCs w:val="24"/>
        </w:rPr>
      </w:r>
      <w:r w:rsidRPr="00605A6D">
        <w:rPr>
          <w:rFonts w:ascii="Arial" w:hAnsi="Arial" w:cs="Arial"/>
          <w:sz w:val="24"/>
          <w:szCs w:val="24"/>
        </w:rPr>
        <w:fldChar w:fldCharType="separate"/>
      </w:r>
      <w:r w:rsidRPr="00605A6D">
        <w:rPr>
          <w:rFonts w:ascii="Arial" w:hAnsi="Arial" w:cs="Arial"/>
          <w:noProof/>
          <w:sz w:val="24"/>
          <w:szCs w:val="24"/>
        </w:rPr>
        <w:t>data</w:t>
      </w:r>
      <w:r w:rsidRPr="00605A6D">
        <w:rPr>
          <w:rFonts w:ascii="Arial" w:hAnsi="Arial" w:cs="Arial"/>
          <w:sz w:val="24"/>
          <w:szCs w:val="24"/>
        </w:rPr>
        <w:fldChar w:fldCharType="end"/>
      </w:r>
      <w:r w:rsidRPr="00605A6D">
        <w:rPr>
          <w:rFonts w:ascii="Arial" w:hAnsi="Arial" w:cs="Arial"/>
          <w:sz w:val="24"/>
          <w:szCs w:val="24"/>
        </w:rPr>
        <w:t>.</w:t>
      </w:r>
    </w:p>
    <w:p w14:paraId="27D0A4DE" w14:textId="77777777" w:rsidR="003025F1" w:rsidRDefault="003025F1" w:rsidP="003025F1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518FCD" w14:textId="77777777" w:rsidR="003025F1" w:rsidRPr="006A4BDA" w:rsidRDefault="003025F1" w:rsidP="003025F1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À</w:t>
      </w:r>
    </w:p>
    <w:p w14:paraId="760652F5" w14:textId="77777777" w:rsidR="003025F1" w:rsidRPr="006A4BDA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B3 S.A. – Brasil, Bolsa, Balcão</w:t>
      </w:r>
    </w:p>
    <w:p w14:paraId="6BA976A4" w14:textId="77777777" w:rsidR="003025F1" w:rsidRPr="006A4BDA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A/C </w:t>
      </w:r>
      <w:r w:rsidR="003025F1" w:rsidRPr="006A4BDA">
        <w:rPr>
          <w:rFonts w:ascii="Arial" w:hAnsi="Arial" w:cs="Arial"/>
          <w:sz w:val="24"/>
          <w:szCs w:val="24"/>
        </w:rPr>
        <w:t>Diretoria de Depositária e Operações de Balcão</w:t>
      </w:r>
    </w:p>
    <w:p w14:paraId="5F39524F" w14:textId="77777777" w:rsidR="003025F1" w:rsidRPr="006A4BDA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Praça Antônio Prado, 48 – 4º andar – São Paulo/SP</w:t>
      </w:r>
    </w:p>
    <w:p w14:paraId="35178DB9" w14:textId="77777777" w:rsidR="003025F1" w:rsidRPr="00605A6D" w:rsidRDefault="003025F1" w:rsidP="00A52A26">
      <w:pPr>
        <w:spacing w:after="0" w:line="312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05A6D">
        <w:rPr>
          <w:rFonts w:ascii="Arial" w:hAnsi="Arial" w:cs="Arial"/>
          <w:sz w:val="24"/>
          <w:szCs w:val="24"/>
        </w:rPr>
        <w:t>CEP: 01010-901</w:t>
      </w:r>
    </w:p>
    <w:p w14:paraId="63A4B0B2" w14:textId="57DDAC93" w:rsidR="003025F1" w:rsidRPr="00605A6D" w:rsidRDefault="00DC07F8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3025F1" w:rsidRPr="00605A6D">
          <w:rPr>
            <w:rStyle w:val="Hyperlink"/>
            <w:rFonts w:ascii="Arial" w:hAnsi="Arial" w:cs="Arial"/>
            <w:sz w:val="24"/>
            <w:szCs w:val="24"/>
          </w:rPr>
          <w:t>operacaobalcao@b3.com.br</w:t>
        </w:r>
      </w:hyperlink>
      <w:r w:rsidR="003025F1" w:rsidRPr="00605A6D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401B893C" w14:textId="77777777" w:rsidR="00A52A26" w:rsidRPr="00605A6D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6CA433" w14:textId="11561998" w:rsidR="003025F1" w:rsidRPr="006A4BDA" w:rsidRDefault="003025F1" w:rsidP="00B56C2C">
      <w:pPr>
        <w:spacing w:before="240" w:after="240"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Ref.:</w:t>
      </w:r>
      <w:r w:rsidRPr="006A4BDA">
        <w:rPr>
          <w:rFonts w:ascii="Arial" w:hAnsi="Arial" w:cs="Arial"/>
          <w:sz w:val="24"/>
          <w:szCs w:val="24"/>
        </w:rPr>
        <w:tab/>
      </w:r>
      <w:r w:rsidR="00297E11">
        <w:rPr>
          <w:rFonts w:ascii="Arial" w:hAnsi="Arial" w:cs="Arial"/>
          <w:b/>
          <w:sz w:val="24"/>
          <w:szCs w:val="24"/>
        </w:rPr>
        <w:t xml:space="preserve">Inclusão de </w:t>
      </w:r>
      <w:r w:rsidR="00C0006F">
        <w:rPr>
          <w:rFonts w:ascii="Arial" w:hAnsi="Arial" w:cs="Arial"/>
          <w:b/>
          <w:sz w:val="24"/>
          <w:szCs w:val="24"/>
        </w:rPr>
        <w:t>Crédito</w:t>
      </w:r>
      <w:r w:rsidR="004A7937">
        <w:rPr>
          <w:rFonts w:ascii="Arial" w:hAnsi="Arial" w:cs="Arial"/>
          <w:b/>
          <w:sz w:val="24"/>
          <w:szCs w:val="24"/>
        </w:rPr>
        <w:t>(</w:t>
      </w:r>
      <w:r w:rsidR="00C0006F">
        <w:rPr>
          <w:rFonts w:ascii="Arial" w:hAnsi="Arial" w:cs="Arial"/>
          <w:b/>
          <w:sz w:val="24"/>
          <w:szCs w:val="24"/>
        </w:rPr>
        <w:t>s</w:t>
      </w:r>
      <w:r w:rsidR="004A7937">
        <w:rPr>
          <w:rFonts w:ascii="Arial" w:hAnsi="Arial" w:cs="Arial"/>
          <w:b/>
          <w:sz w:val="24"/>
          <w:szCs w:val="24"/>
        </w:rPr>
        <w:t>)</w:t>
      </w:r>
      <w:r w:rsidR="00C0006F">
        <w:rPr>
          <w:rFonts w:ascii="Arial" w:hAnsi="Arial" w:cs="Arial"/>
          <w:b/>
          <w:sz w:val="24"/>
          <w:szCs w:val="24"/>
        </w:rPr>
        <w:t xml:space="preserve"> Imobiliário</w:t>
      </w:r>
      <w:r w:rsidR="004A7937">
        <w:rPr>
          <w:rFonts w:ascii="Arial" w:hAnsi="Arial" w:cs="Arial"/>
          <w:b/>
          <w:sz w:val="24"/>
          <w:szCs w:val="24"/>
        </w:rPr>
        <w:t>(</w:t>
      </w:r>
      <w:r w:rsidR="00C0006F">
        <w:rPr>
          <w:rFonts w:ascii="Arial" w:hAnsi="Arial" w:cs="Arial"/>
          <w:b/>
          <w:sz w:val="24"/>
          <w:szCs w:val="24"/>
        </w:rPr>
        <w:t>s</w:t>
      </w:r>
      <w:r w:rsidR="004A7937">
        <w:rPr>
          <w:rFonts w:ascii="Arial" w:hAnsi="Arial" w:cs="Arial"/>
          <w:b/>
          <w:sz w:val="24"/>
          <w:szCs w:val="24"/>
        </w:rPr>
        <w:t>)</w:t>
      </w:r>
      <w:r w:rsidR="00297E11">
        <w:rPr>
          <w:rFonts w:ascii="Arial" w:hAnsi="Arial" w:cs="Arial"/>
          <w:b/>
          <w:sz w:val="24"/>
          <w:szCs w:val="24"/>
        </w:rPr>
        <w:t xml:space="preserve"> na </w:t>
      </w:r>
      <w:r w:rsidR="00B56C2C" w:rsidRPr="00B56C2C">
        <w:rPr>
          <w:rFonts w:ascii="Arial" w:hAnsi="Arial" w:cs="Arial"/>
          <w:b/>
          <w:sz w:val="24"/>
          <w:szCs w:val="24"/>
        </w:rPr>
        <w:t xml:space="preserve">Carteira de Ativos </w:t>
      </w:r>
      <w:r w:rsidR="006A4BDA" w:rsidRPr="00B56C2C">
        <w:rPr>
          <w:rFonts w:ascii="Arial" w:hAnsi="Arial" w:cs="Arial"/>
          <w:b/>
          <w:sz w:val="24"/>
          <w:szCs w:val="24"/>
        </w:rPr>
        <w:t>de Letra Imobiliária Garantida</w:t>
      </w:r>
      <w:r w:rsidR="00D97B03" w:rsidRPr="00B56C2C">
        <w:rPr>
          <w:rFonts w:ascii="Arial" w:hAnsi="Arial" w:cs="Arial"/>
          <w:b/>
          <w:sz w:val="24"/>
          <w:szCs w:val="24"/>
        </w:rPr>
        <w:t xml:space="preserve"> – LIG</w:t>
      </w:r>
      <w:bookmarkStart w:id="0" w:name="_GoBack"/>
      <w:bookmarkEnd w:id="0"/>
    </w:p>
    <w:p w14:paraId="11E43DD4" w14:textId="77777777" w:rsidR="003025F1" w:rsidRPr="006A4BDA" w:rsidRDefault="006A4BDA" w:rsidP="003025F1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 xml:space="preserve">Prezados Senhores, </w:t>
      </w:r>
    </w:p>
    <w:p w14:paraId="7C24A6E2" w14:textId="7EE70AD1" w:rsidR="00AF4BB0" w:rsidRDefault="00195868" w:rsidP="001A48E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 xml:space="preserve">Pelo presente </w:t>
      </w:r>
      <w:r w:rsidR="00430AD3">
        <w:rPr>
          <w:rFonts w:ascii="Arial" w:hAnsi="Arial" w:cs="Arial"/>
          <w:sz w:val="24"/>
          <w:szCs w:val="24"/>
        </w:rPr>
        <w:t>instrumento</w:t>
      </w:r>
      <w:r w:rsidR="008F5E1F" w:rsidRPr="006A4BDA">
        <w:rPr>
          <w:rFonts w:ascii="Arial" w:hAnsi="Arial" w:cs="Arial"/>
          <w:sz w:val="24"/>
          <w:szCs w:val="24"/>
        </w:rPr>
        <w:t>, o Emissor a seguir identificado</w:t>
      </w:r>
      <w:r w:rsidR="00B12FF0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245"/>
        <w:gridCol w:w="6249"/>
      </w:tblGrid>
      <w:tr w:rsidR="00F714AF" w:rsidRPr="00D2277A" w14:paraId="51652167" w14:textId="77777777" w:rsidTr="008F1EEF">
        <w:tc>
          <w:tcPr>
            <w:tcW w:w="2245" w:type="dxa"/>
            <w:shd w:val="pct12" w:color="auto" w:fill="auto"/>
            <w:vAlign w:val="center"/>
          </w:tcPr>
          <w:p w14:paraId="25232723" w14:textId="17E7A916" w:rsidR="00F714AF" w:rsidRPr="00D2277A" w:rsidRDefault="008F1EE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Denominação</w:t>
            </w:r>
            <w:r w:rsidR="00B12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14AF" w:rsidRPr="00D2277A">
              <w:rPr>
                <w:rFonts w:ascii="Arial" w:hAnsi="Arial" w:cs="Arial"/>
                <w:b/>
                <w:sz w:val="20"/>
                <w:szCs w:val="20"/>
              </w:rPr>
              <w:t>Social</w:t>
            </w:r>
          </w:p>
        </w:tc>
        <w:tc>
          <w:tcPr>
            <w:tcW w:w="6249" w:type="dxa"/>
            <w:vAlign w:val="center"/>
          </w:tcPr>
          <w:p w14:paraId="50A12715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714AF" w:rsidRPr="00D2277A" w14:paraId="082AE76A" w14:textId="77777777" w:rsidTr="008F1EEF">
        <w:tc>
          <w:tcPr>
            <w:tcW w:w="2245" w:type="dxa"/>
            <w:shd w:val="pct12" w:color="auto" w:fill="auto"/>
            <w:vAlign w:val="center"/>
          </w:tcPr>
          <w:p w14:paraId="2FBF3EEA" w14:textId="77777777" w:rsidR="00F714AF" w:rsidRPr="00D2277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77A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6249" w:type="dxa"/>
            <w:vAlign w:val="center"/>
          </w:tcPr>
          <w:p w14:paraId="56DD7052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06C5F3" w14:textId="5A4F4656" w:rsidR="001A48EB" w:rsidRPr="00E073D9" w:rsidRDefault="00696E74" w:rsidP="001A48E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Vem, </w:t>
      </w:r>
      <w:r w:rsidR="00DA27C9">
        <w:rPr>
          <w:rFonts w:ascii="Arial" w:hAnsi="Arial" w:cs="Arial"/>
          <w:sz w:val="24"/>
          <w:szCs w:val="24"/>
        </w:rPr>
        <w:t>perante a</w:t>
      </w:r>
      <w:r w:rsidR="0084039E">
        <w:rPr>
          <w:rFonts w:ascii="Arial" w:hAnsi="Arial" w:cs="Arial"/>
          <w:sz w:val="24"/>
          <w:szCs w:val="24"/>
        </w:rPr>
        <w:t xml:space="preserve"> B3</w:t>
      </w:r>
      <w:r w:rsidR="00DA27C9">
        <w:rPr>
          <w:rFonts w:ascii="Arial" w:hAnsi="Arial" w:cs="Arial"/>
          <w:sz w:val="24"/>
          <w:szCs w:val="24"/>
        </w:rPr>
        <w:t xml:space="preserve">, </w:t>
      </w:r>
      <w:r w:rsidR="00297E11">
        <w:rPr>
          <w:rFonts w:ascii="Arial" w:hAnsi="Arial" w:cs="Arial"/>
          <w:sz w:val="24"/>
          <w:szCs w:val="24"/>
        </w:rPr>
        <w:t>determinar a inclusão</w:t>
      </w:r>
      <w:r w:rsidR="005A655F">
        <w:rPr>
          <w:rFonts w:ascii="Arial" w:hAnsi="Arial" w:cs="Arial"/>
          <w:sz w:val="24"/>
          <w:szCs w:val="24"/>
        </w:rPr>
        <w:t>,</w:t>
      </w:r>
      <w:r w:rsidR="00297E11">
        <w:rPr>
          <w:rFonts w:ascii="Arial" w:hAnsi="Arial" w:cs="Arial"/>
          <w:sz w:val="24"/>
          <w:szCs w:val="24"/>
        </w:rPr>
        <w:t xml:space="preserve"> </w:t>
      </w:r>
      <w:r w:rsidR="005A655F">
        <w:rPr>
          <w:rFonts w:ascii="Arial" w:hAnsi="Arial" w:cs="Arial"/>
          <w:sz w:val="24"/>
          <w:szCs w:val="24"/>
        </w:rPr>
        <w:t xml:space="preserve">na Carteira de Ativos da LIG referida no Anexo I, </w:t>
      </w:r>
      <w:r w:rsidR="00297E11">
        <w:rPr>
          <w:rFonts w:ascii="Arial" w:hAnsi="Arial" w:cs="Arial"/>
          <w:sz w:val="24"/>
          <w:szCs w:val="24"/>
        </w:rPr>
        <w:t>d</w:t>
      </w:r>
      <w:r w:rsidR="007B689F">
        <w:rPr>
          <w:rFonts w:ascii="Arial" w:hAnsi="Arial" w:cs="Arial"/>
          <w:sz w:val="24"/>
          <w:szCs w:val="24"/>
        </w:rPr>
        <w:t>o(s)</w:t>
      </w:r>
      <w:r w:rsidR="00297E11">
        <w:rPr>
          <w:rFonts w:ascii="Arial" w:hAnsi="Arial" w:cs="Arial"/>
          <w:sz w:val="24"/>
          <w:szCs w:val="24"/>
        </w:rPr>
        <w:t xml:space="preserve"> </w:t>
      </w:r>
      <w:r w:rsidR="00C0006F">
        <w:rPr>
          <w:rFonts w:ascii="Arial" w:hAnsi="Arial" w:cs="Arial"/>
          <w:sz w:val="24"/>
          <w:szCs w:val="24"/>
        </w:rPr>
        <w:t xml:space="preserve">crédito(s) imobiliário(s) </w:t>
      </w:r>
      <w:r w:rsidR="007B689F">
        <w:rPr>
          <w:rFonts w:ascii="Arial" w:hAnsi="Arial" w:cs="Arial"/>
          <w:sz w:val="24"/>
          <w:szCs w:val="24"/>
        </w:rPr>
        <w:t>descrito(s) no Anexo I</w:t>
      </w:r>
      <w:r w:rsidR="00A9742F">
        <w:rPr>
          <w:rFonts w:ascii="Arial" w:hAnsi="Arial" w:cs="Arial"/>
          <w:sz w:val="24"/>
          <w:szCs w:val="24"/>
        </w:rPr>
        <w:t>.</w:t>
      </w:r>
    </w:p>
    <w:p w14:paraId="55E4C29C" w14:textId="77777777" w:rsidR="00EB3246" w:rsidRPr="001470B2" w:rsidRDefault="00A9742F" w:rsidP="001470B2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Emissor confirma que </w:t>
      </w:r>
      <w:r w:rsidR="00E6494A" w:rsidRPr="001470B2">
        <w:rPr>
          <w:rFonts w:ascii="Arial" w:hAnsi="Arial" w:cs="Arial"/>
          <w:sz w:val="24"/>
          <w:szCs w:val="24"/>
        </w:rPr>
        <w:t>se encontra regularmente constituído e devidamente representado neste ato</w:t>
      </w:r>
      <w:r w:rsidR="001470B2">
        <w:rPr>
          <w:rFonts w:ascii="Arial" w:hAnsi="Arial" w:cs="Arial"/>
          <w:sz w:val="24"/>
          <w:szCs w:val="24"/>
        </w:rPr>
        <w:t xml:space="preserve"> e a</w:t>
      </w:r>
      <w:r w:rsidR="0019013E" w:rsidRPr="001470B2">
        <w:rPr>
          <w:rFonts w:ascii="Arial" w:hAnsi="Arial" w:cs="Arial"/>
          <w:sz w:val="24"/>
          <w:szCs w:val="24"/>
        </w:rPr>
        <w:t>ssum</w:t>
      </w:r>
      <w:r w:rsidR="001470B2">
        <w:rPr>
          <w:rFonts w:ascii="Arial" w:hAnsi="Arial" w:cs="Arial"/>
          <w:sz w:val="24"/>
          <w:szCs w:val="24"/>
        </w:rPr>
        <w:t>e</w:t>
      </w:r>
      <w:r w:rsidR="00EB3246" w:rsidRPr="001470B2">
        <w:rPr>
          <w:rFonts w:ascii="Arial" w:hAnsi="Arial" w:cs="Arial"/>
          <w:sz w:val="24"/>
          <w:szCs w:val="24"/>
        </w:rPr>
        <w:t xml:space="preserve"> integral, irretratável e irrevogável responsabilidade pe</w:t>
      </w:r>
      <w:r w:rsidR="0019013E" w:rsidRPr="001470B2">
        <w:rPr>
          <w:rFonts w:ascii="Arial" w:hAnsi="Arial" w:cs="Arial"/>
          <w:sz w:val="24"/>
          <w:szCs w:val="24"/>
        </w:rPr>
        <w:t>la veracidade e pelos efeitos do</w:t>
      </w:r>
      <w:r w:rsidR="00EB3246" w:rsidRPr="001470B2">
        <w:rPr>
          <w:rFonts w:ascii="Arial" w:hAnsi="Arial" w:cs="Arial"/>
          <w:sz w:val="24"/>
          <w:szCs w:val="24"/>
        </w:rPr>
        <w:t xml:space="preserve"> presente </w:t>
      </w:r>
      <w:r w:rsidR="0019013E" w:rsidRPr="001470B2">
        <w:rPr>
          <w:rFonts w:ascii="Arial" w:hAnsi="Arial" w:cs="Arial"/>
          <w:sz w:val="24"/>
          <w:szCs w:val="24"/>
        </w:rPr>
        <w:t>instrumento</w:t>
      </w:r>
      <w:r w:rsidR="00EB3246" w:rsidRPr="001470B2">
        <w:rPr>
          <w:rFonts w:ascii="Arial" w:hAnsi="Arial" w:cs="Arial"/>
          <w:sz w:val="24"/>
          <w:szCs w:val="24"/>
        </w:rPr>
        <w:t>, isentando a B3 de qualquer responsabilidade</w:t>
      </w:r>
      <w:r w:rsidR="00C174CD" w:rsidRPr="001470B2">
        <w:rPr>
          <w:rFonts w:ascii="Arial" w:hAnsi="Arial" w:cs="Arial"/>
          <w:sz w:val="24"/>
          <w:szCs w:val="24"/>
        </w:rPr>
        <w:t xml:space="preserve"> a qualquer título ou tempo</w:t>
      </w:r>
      <w:r w:rsidR="00EB3246" w:rsidRPr="001470B2">
        <w:rPr>
          <w:rFonts w:ascii="Arial" w:hAnsi="Arial" w:cs="Arial"/>
          <w:sz w:val="24"/>
          <w:szCs w:val="24"/>
        </w:rPr>
        <w:t>.</w:t>
      </w:r>
    </w:p>
    <w:p w14:paraId="440AB184" w14:textId="77777777" w:rsidR="004D4F0F" w:rsidRDefault="00C00466" w:rsidP="00C0046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Agente Fiduciário de LIG descrito no Anexo I comparece neste instrumento para</w:t>
      </w:r>
      <w:r w:rsidR="004D4F0F">
        <w:rPr>
          <w:rFonts w:ascii="Arial" w:hAnsi="Arial" w:cs="Arial"/>
          <w:sz w:val="24"/>
          <w:szCs w:val="24"/>
        </w:rPr>
        <w:t>:</w:t>
      </w:r>
    </w:p>
    <w:p w14:paraId="6948DC6F" w14:textId="77777777" w:rsidR="001C56A3" w:rsidRDefault="001C56A3" w:rsidP="001C56A3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Confirmar que se encontra regularmente constituído e devidamente representado neste ato.</w:t>
      </w:r>
    </w:p>
    <w:p w14:paraId="2B3D731B" w14:textId="77777777" w:rsidR="004D4F0F" w:rsidRDefault="004D4F0F" w:rsidP="004D4F0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E031C">
        <w:rPr>
          <w:rFonts w:ascii="Arial" w:hAnsi="Arial" w:cs="Arial"/>
          <w:sz w:val="24"/>
          <w:szCs w:val="24"/>
        </w:rPr>
        <w:t xml:space="preserve">onfirmar </w:t>
      </w:r>
      <w:r w:rsidR="009A0FFA">
        <w:rPr>
          <w:rFonts w:ascii="Arial" w:hAnsi="Arial" w:cs="Arial"/>
          <w:sz w:val="24"/>
          <w:szCs w:val="24"/>
        </w:rPr>
        <w:t xml:space="preserve">o teor deste instrumento e </w:t>
      </w:r>
      <w:r w:rsidR="002E031C">
        <w:rPr>
          <w:rFonts w:ascii="Arial" w:hAnsi="Arial" w:cs="Arial"/>
          <w:sz w:val="24"/>
          <w:szCs w:val="24"/>
        </w:rPr>
        <w:t xml:space="preserve">a veracidade das informações </w:t>
      </w:r>
      <w:r>
        <w:rPr>
          <w:rFonts w:ascii="Arial" w:hAnsi="Arial" w:cs="Arial"/>
          <w:sz w:val="24"/>
          <w:szCs w:val="24"/>
        </w:rPr>
        <w:t xml:space="preserve">aqui contidas (inclusive as constantes do </w:t>
      </w:r>
      <w:r w:rsidR="002E031C">
        <w:rPr>
          <w:rFonts w:ascii="Arial" w:hAnsi="Arial" w:cs="Arial"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a este instrumento)</w:t>
      </w:r>
      <w:r w:rsidR="00C00466">
        <w:rPr>
          <w:rFonts w:ascii="Arial" w:hAnsi="Arial" w:cs="Arial"/>
          <w:sz w:val="24"/>
          <w:szCs w:val="24"/>
        </w:rPr>
        <w:t>.</w:t>
      </w:r>
      <w:r w:rsidRPr="004D4F0F">
        <w:rPr>
          <w:rFonts w:ascii="Arial" w:hAnsi="Arial" w:cs="Arial"/>
          <w:sz w:val="24"/>
          <w:szCs w:val="24"/>
        </w:rPr>
        <w:t xml:space="preserve"> </w:t>
      </w:r>
    </w:p>
    <w:p w14:paraId="6F75920C" w14:textId="418F714C" w:rsidR="007B689F" w:rsidRPr="00EB3246" w:rsidRDefault="007B689F" w:rsidP="007B689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Confirmar, tendo em vista o teor do Termo de Emissão da respectiva LIG, a possibilidade de inclusão</w:t>
      </w:r>
      <w:r w:rsidR="005A655F">
        <w:rPr>
          <w:rFonts w:ascii="Arial" w:hAnsi="Arial" w:cs="Arial"/>
          <w:sz w:val="24"/>
          <w:szCs w:val="24"/>
        </w:rPr>
        <w:t xml:space="preserve">, na Carteira de Ativos da LIG referida no Anexo I, do(s) </w:t>
      </w:r>
      <w:r w:rsidR="00C0006F">
        <w:rPr>
          <w:rFonts w:ascii="Arial" w:hAnsi="Arial" w:cs="Arial"/>
          <w:sz w:val="24"/>
          <w:szCs w:val="24"/>
        </w:rPr>
        <w:t>crédito(s) imobiliário(s)</w:t>
      </w:r>
      <w:r w:rsidR="005A655F">
        <w:rPr>
          <w:rFonts w:ascii="Arial" w:hAnsi="Arial" w:cs="Arial"/>
          <w:sz w:val="24"/>
          <w:szCs w:val="24"/>
        </w:rPr>
        <w:t xml:space="preserve"> descrito(s) no Anexo I</w:t>
      </w:r>
      <w:r>
        <w:rPr>
          <w:rFonts w:ascii="Arial" w:hAnsi="Arial" w:cs="Arial"/>
          <w:sz w:val="24"/>
          <w:szCs w:val="24"/>
        </w:rPr>
        <w:t>.</w:t>
      </w:r>
    </w:p>
    <w:p w14:paraId="0C70BBE4" w14:textId="77777777" w:rsidR="00E073D9" w:rsidRDefault="0084039E" w:rsidP="00A325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073D9">
        <w:rPr>
          <w:rFonts w:ascii="Arial" w:hAnsi="Arial" w:cs="Arial"/>
          <w:sz w:val="24"/>
          <w:szCs w:val="24"/>
        </w:rPr>
        <w:lastRenderedPageBreak/>
        <w:t xml:space="preserve">Os termos utilizados neste </w:t>
      </w:r>
      <w:r>
        <w:rPr>
          <w:rFonts w:ascii="Arial" w:hAnsi="Arial" w:cs="Arial"/>
          <w:sz w:val="24"/>
          <w:szCs w:val="24"/>
        </w:rPr>
        <w:t>instrumento</w:t>
      </w:r>
      <w:r w:rsidRPr="00E073D9">
        <w:rPr>
          <w:rFonts w:ascii="Arial" w:hAnsi="Arial" w:cs="Arial"/>
          <w:sz w:val="24"/>
          <w:szCs w:val="24"/>
        </w:rPr>
        <w:t xml:space="preserve"> com iniciais em maiúscula, em suas formas no singular e no plural, terão o significado a eles atribuído no Glossário das Normas do Segmento </w:t>
      </w:r>
      <w:proofErr w:type="spellStart"/>
      <w:r w:rsidRPr="00E073D9">
        <w:rPr>
          <w:rFonts w:ascii="Arial" w:hAnsi="Arial" w:cs="Arial"/>
          <w:sz w:val="24"/>
          <w:szCs w:val="24"/>
        </w:rPr>
        <w:t>Cetip</w:t>
      </w:r>
      <w:proofErr w:type="spellEnd"/>
      <w:r w:rsidRPr="00E073D9">
        <w:rPr>
          <w:rFonts w:ascii="Arial" w:hAnsi="Arial" w:cs="Arial"/>
          <w:sz w:val="24"/>
          <w:szCs w:val="24"/>
        </w:rPr>
        <w:t xml:space="preserve"> UTVM.</w:t>
      </w:r>
    </w:p>
    <w:p w14:paraId="5BE4D219" w14:textId="77777777" w:rsidR="004D4F0F" w:rsidRDefault="004D4F0F" w:rsidP="00A325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Anexo I deste instrumento é dele parte integrante e indissociável.</w:t>
      </w:r>
    </w:p>
    <w:p w14:paraId="745CF2BA" w14:textId="77777777" w:rsidR="00183408" w:rsidRPr="00EB3246" w:rsidRDefault="00183408" w:rsidP="00EB324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B3246">
        <w:rPr>
          <w:rFonts w:ascii="Arial" w:hAnsi="Arial" w:cs="Arial"/>
          <w:sz w:val="24"/>
          <w:szCs w:val="24"/>
        </w:rPr>
        <w:t>Este documento é regido pela legislação brasileira e será interpretado de acordo e em consonância com as Normas da B3.</w:t>
      </w:r>
    </w:p>
    <w:p w14:paraId="2CD8CE1F" w14:textId="77777777" w:rsidR="00EB4C2A" w:rsidRDefault="00EB4C2A" w:rsidP="00DD6D71">
      <w:pPr>
        <w:jc w:val="center"/>
        <w:rPr>
          <w:rFonts w:ascii="Arial" w:hAnsi="Arial" w:cs="Arial"/>
          <w:sz w:val="24"/>
          <w:szCs w:val="24"/>
        </w:rPr>
      </w:pPr>
    </w:p>
    <w:p w14:paraId="14683B2E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7DB304DC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 w:rsidRPr="00D97B03">
        <w:rPr>
          <w:rFonts w:ascii="Arial" w:hAnsi="Arial" w:cs="Arial"/>
          <w:b/>
          <w:sz w:val="24"/>
          <w:szCs w:val="24"/>
        </w:rPr>
        <w:t>Emissor</w:t>
      </w:r>
    </w:p>
    <w:p w14:paraId="57CE721E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</w:p>
    <w:p w14:paraId="25FCCF07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6E9F091F" w14:textId="77777777" w:rsidR="00DD6D71" w:rsidRPr="00D97B03" w:rsidRDefault="00DD6D71" w:rsidP="00DD6D71">
      <w:pPr>
        <w:jc w:val="center"/>
        <w:rPr>
          <w:rFonts w:ascii="Arial" w:hAnsi="Arial" w:cs="Arial"/>
          <w:b/>
          <w:sz w:val="24"/>
          <w:szCs w:val="24"/>
        </w:rPr>
      </w:pPr>
      <w:r w:rsidRPr="00D97B03">
        <w:rPr>
          <w:rFonts w:ascii="Arial" w:hAnsi="Arial" w:cs="Arial"/>
          <w:b/>
          <w:sz w:val="24"/>
          <w:szCs w:val="24"/>
        </w:rPr>
        <w:t>Agente Fiduciário</w:t>
      </w:r>
      <w:r w:rsidR="007F21E0" w:rsidRPr="00D97B03">
        <w:rPr>
          <w:rFonts w:ascii="Arial" w:hAnsi="Arial" w:cs="Arial"/>
          <w:b/>
          <w:sz w:val="24"/>
          <w:szCs w:val="24"/>
        </w:rPr>
        <w:t xml:space="preserve"> de LIG</w:t>
      </w:r>
    </w:p>
    <w:p w14:paraId="662DD256" w14:textId="77777777" w:rsidR="00EB4C2A" w:rsidRDefault="00EB4C2A" w:rsidP="007F21E0">
      <w:pPr>
        <w:rPr>
          <w:rFonts w:ascii="Arial" w:hAnsi="Arial" w:cs="Arial"/>
          <w:sz w:val="24"/>
          <w:szCs w:val="24"/>
        </w:rPr>
      </w:pPr>
    </w:p>
    <w:p w14:paraId="6484063D" w14:textId="3938E556" w:rsidR="00DD6D71" w:rsidRDefault="00DD6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F02FAC" w14:textId="77777777" w:rsidR="00CC05DC" w:rsidRDefault="002722CF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E5C9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</w:t>
      </w:r>
    </w:p>
    <w:p w14:paraId="1461A756" w14:textId="69172D39" w:rsidR="00EE5C9D" w:rsidRDefault="005A655F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Inclusão</w:t>
      </w:r>
      <w:r w:rsidRPr="005A655F">
        <w:rPr>
          <w:rFonts w:ascii="Arial" w:hAnsi="Arial" w:cs="Arial"/>
          <w:b/>
          <w:color w:val="000000" w:themeColor="text1"/>
          <w:sz w:val="24"/>
          <w:szCs w:val="24"/>
        </w:rPr>
        <w:t xml:space="preserve">, na Carteira de Ativos da LIG, do(s) </w:t>
      </w:r>
      <w:r w:rsidR="00C0006F">
        <w:rPr>
          <w:rFonts w:ascii="Arial" w:hAnsi="Arial" w:cs="Arial"/>
          <w:b/>
          <w:color w:val="000000" w:themeColor="text1"/>
          <w:sz w:val="24"/>
          <w:szCs w:val="24"/>
        </w:rPr>
        <w:t xml:space="preserve">crédito(s) imobiliário(s)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abaixo </w:t>
      </w:r>
      <w:r w:rsidRPr="005A655F">
        <w:rPr>
          <w:rFonts w:ascii="Arial" w:hAnsi="Arial" w:cs="Arial"/>
          <w:b/>
          <w:color w:val="000000" w:themeColor="text1"/>
          <w:sz w:val="24"/>
          <w:szCs w:val="24"/>
        </w:rPr>
        <w:t>descrito(s)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55"/>
      </w:tblGrid>
      <w:tr w:rsidR="000E3388" w14:paraId="58629242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8A8A5C" w14:textId="77777777" w:rsidR="000E3388" w:rsidRDefault="000E3388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Registrador/Emissor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AFAF" w14:textId="7C0E00BC" w:rsidR="000E3388" w:rsidRPr="00AF5844" w:rsidRDefault="00AF5844" w:rsidP="00AF5844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4F4C44" w14:paraId="384E6716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A0B960" w14:textId="3C2EC61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Denominação Social do Agente Fiduciário de LIG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188" w14:textId="55320D52" w:rsidR="004F4C44" w:rsidRDefault="004F4C44" w:rsidP="004F4C44">
            <w:pPr>
              <w:pStyle w:val="Default"/>
              <w:adjustRightInd w:val="0"/>
              <w:ind w:left="9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4F4C44" w14:paraId="7E3B12E2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401579" w14:textId="69722DE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CNPJ do Agente Fiduciário de LIG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AFF" w14:textId="313F6A82" w:rsidR="004F4C44" w:rsidRDefault="004F4C44" w:rsidP="004F4C44">
            <w:pPr>
              <w:pStyle w:val="Default"/>
              <w:adjustRightInd w:val="0"/>
              <w:ind w:left="9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</w:t>
            </w:r>
            <w:r w:rsidR="003947B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na emissão da LIG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</w:tr>
      <w:tr w:rsidR="004F4C44" w14:paraId="3113449D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397424" w14:textId="5C57F70B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Conta do 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A</w:t>
            </w: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gente 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F</w:t>
            </w: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iduciário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de LIG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CEF" w14:textId="3B1C228D" w:rsidR="004F4C44" w:rsidRDefault="004F4C44" w:rsidP="004F4C44">
            <w:pPr>
              <w:pStyle w:val="Default"/>
              <w:adjustRightInd w:val="0"/>
              <w:ind w:left="9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</w:t>
            </w:r>
            <w:r w:rsidR="003947B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na emissão da LIG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</w:tr>
      <w:tr w:rsidR="004F4C44" w14:paraId="34604E66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91D06E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Lote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FFB9" w14:textId="6204D7C1" w:rsidR="004F4C44" w:rsidRPr="00AF5844" w:rsidRDefault="004F4C44" w:rsidP="004F4C44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</w:t>
            </w:r>
            <w:r w:rsidR="00EE5EB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3947BB">
              <w:rPr>
                <w:rFonts w:ascii="Arial Narrow" w:hAnsi="Arial Narrow"/>
                <w:color w:val="000000" w:themeColor="text1"/>
                <w:sz w:val="20"/>
                <w:szCs w:val="20"/>
              </w:rPr>
              <w:t>na emissão da LIG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</w:tr>
      <w:tr w:rsidR="004F4C44" w14:paraId="490F2414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DAC71FF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Tipo IF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DFC" w14:textId="77777777" w:rsidR="004F4C44" w:rsidRPr="0036178D" w:rsidRDefault="004F4C44" w:rsidP="004F4C44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  <w:p w14:paraId="0B9E46C4" w14:textId="7CA31069" w:rsidR="004F4C44" w:rsidRPr="000E3388" w:rsidRDefault="004F4C44" w:rsidP="004F4C44">
            <w:pPr>
              <w:pStyle w:val="Default"/>
              <w:numPr>
                <w:ilvl w:val="0"/>
                <w:numId w:val="9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CCI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 Cédula de Crédito Imobiliário</w:t>
            </w:r>
          </w:p>
          <w:p w14:paraId="520D7BE2" w14:textId="6C1EF8E1" w:rsidR="004F4C44" w:rsidRPr="000E3388" w:rsidRDefault="004F4C44" w:rsidP="004F4C44">
            <w:pPr>
              <w:pStyle w:val="Default"/>
              <w:numPr>
                <w:ilvl w:val="0"/>
                <w:numId w:val="9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CCB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Cédula de Crédito Bancário</w:t>
            </w:r>
          </w:p>
          <w:p w14:paraId="6A566D28" w14:textId="585871A5" w:rsidR="004F4C44" w:rsidRPr="000E3388" w:rsidRDefault="004F4C44" w:rsidP="004F4C44">
            <w:pPr>
              <w:pStyle w:val="Default"/>
              <w:numPr>
                <w:ilvl w:val="0"/>
                <w:numId w:val="9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CFIN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Contrato de Financiamento</w:t>
            </w:r>
          </w:p>
          <w:p w14:paraId="10A6927E" w14:textId="5D02DC49" w:rsidR="004F4C44" w:rsidRPr="000E3388" w:rsidRDefault="004F4C44" w:rsidP="004F4C44">
            <w:pPr>
              <w:pStyle w:val="Default"/>
              <w:numPr>
                <w:ilvl w:val="0"/>
                <w:numId w:val="9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CMUT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Contrato de Mútuo</w:t>
            </w:r>
          </w:p>
          <w:p w14:paraId="614EA205" w14:textId="214A22C5" w:rsidR="004F4C44" w:rsidRPr="000E3388" w:rsidRDefault="004F4C44" w:rsidP="004F4C44">
            <w:pPr>
              <w:pStyle w:val="Default"/>
              <w:numPr>
                <w:ilvl w:val="0"/>
                <w:numId w:val="9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CMER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Contrato Mercantil</w:t>
            </w:r>
          </w:p>
          <w:p w14:paraId="20AA8724" w14:textId="77777777" w:rsidR="004F4C44" w:rsidRPr="000E3388" w:rsidRDefault="004F4C44" w:rsidP="004F4C44">
            <w:pPr>
              <w:pStyle w:val="Default"/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C44" w14:paraId="24600ECC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E7EF5A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Código IF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329A" w14:textId="1F148E78" w:rsidR="004F4C44" w:rsidRPr="00855CF2" w:rsidRDefault="004F4C44" w:rsidP="004F4C44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(obrigatório, se houver)</w:t>
            </w:r>
          </w:p>
        </w:tc>
      </w:tr>
      <w:tr w:rsidR="004F4C44" w14:paraId="19882232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245B37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Quantidade do Instrumento Financeiro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BCF" w14:textId="1F040C3A" w:rsidR="004F4C44" w:rsidRPr="00855CF2" w:rsidRDefault="004F4C44" w:rsidP="004F4C44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4F4C44" w14:paraId="223B9857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94A485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Preço Unitário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950" w14:textId="493BA007" w:rsidR="004F4C44" w:rsidRPr="00855CF2" w:rsidRDefault="004F4C44" w:rsidP="004F4C44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4F4C44" w14:paraId="4D8470C5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50191F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Data base do preço unitário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A19" w14:textId="739B8CC0" w:rsidR="004F4C44" w:rsidRPr="00855CF2" w:rsidRDefault="004F4C44" w:rsidP="004F4C44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4F4C44" w14:paraId="77C6FB71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CE71E8A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Preço Unitário de Emissão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053" w14:textId="07E6B317" w:rsidR="004F4C44" w:rsidRPr="00855CF2" w:rsidRDefault="004F4C44" w:rsidP="004F4C44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4F4C44" w14:paraId="5BD7A244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7A911AB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Tipo de Crédito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6522" w14:textId="37A52A6B" w:rsidR="004F4C44" w:rsidRPr="00855CF2" w:rsidRDefault="004F4C44" w:rsidP="004F4C44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  <w:p w14:paraId="1C178B17" w14:textId="3871385F" w:rsidR="004F4C44" w:rsidRPr="000E3388" w:rsidRDefault="004F4C44" w:rsidP="004F4C44">
            <w:pPr>
              <w:pStyle w:val="Default"/>
              <w:numPr>
                <w:ilvl w:val="0"/>
                <w:numId w:val="10"/>
              </w:numPr>
              <w:adjustRightInd w:val="0"/>
              <w:ind w:left="455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  <w:t>F</w:t>
            </w:r>
            <w:r w:rsidRPr="000E3388"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  <w:t xml:space="preserve">inanciamento para a aquisição de imóvel residencial ou não residencial. </w:t>
            </w:r>
          </w:p>
          <w:p w14:paraId="4E3FAD26" w14:textId="1D4E2970" w:rsidR="004F4C44" w:rsidRPr="000E3388" w:rsidRDefault="004F4C44" w:rsidP="004F4C44">
            <w:pPr>
              <w:pStyle w:val="Default"/>
              <w:numPr>
                <w:ilvl w:val="0"/>
                <w:numId w:val="10"/>
              </w:numPr>
              <w:adjustRightInd w:val="0"/>
              <w:ind w:left="455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  <w:t>F</w:t>
            </w:r>
            <w:r w:rsidRPr="000E3388"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  <w:t xml:space="preserve">inanciamento para a construção de imóvel residencial ou não residencial. </w:t>
            </w:r>
          </w:p>
          <w:p w14:paraId="7BE262B1" w14:textId="22F3F882" w:rsidR="004F4C44" w:rsidRPr="000E3388" w:rsidRDefault="004F4C44" w:rsidP="004F4C44">
            <w:pPr>
              <w:pStyle w:val="Default"/>
              <w:numPr>
                <w:ilvl w:val="0"/>
                <w:numId w:val="10"/>
              </w:numPr>
              <w:adjustRightInd w:val="0"/>
              <w:ind w:left="455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  <w:t>F</w:t>
            </w:r>
            <w:r w:rsidRPr="000E3388"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  <w:t xml:space="preserve">inanciamento a pessoa jurídica para a produção de imóveis residenciais ou não residenciais. </w:t>
            </w:r>
          </w:p>
          <w:p w14:paraId="36F122FA" w14:textId="74B9A0DB" w:rsidR="004F4C44" w:rsidRPr="000E3388" w:rsidRDefault="004F4C44" w:rsidP="004F4C44">
            <w:pPr>
              <w:pStyle w:val="Default"/>
              <w:numPr>
                <w:ilvl w:val="0"/>
                <w:numId w:val="10"/>
              </w:numPr>
              <w:adjustRightInd w:val="0"/>
              <w:ind w:left="455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  <w:t>E</w:t>
            </w:r>
            <w:r w:rsidRPr="000E3388"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  <w:t>mpréstimo a pessoa natural com garantia hipotecária ou com cláusula de alienação fiduciária de bens imóveis residenciais.</w:t>
            </w:r>
            <w:r w:rsidRPr="000E3388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F4C44" w14:paraId="429F8244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78F58C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Data de Contratação da Operação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CD0" w14:textId="16FC9C0A" w:rsidR="004F4C44" w:rsidRPr="00855CF2" w:rsidRDefault="004F4C44" w:rsidP="004F4C44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4F4C44" w14:paraId="5E9141BA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554836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Data de Vencimento da Operação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3D4" w14:textId="66F86825" w:rsidR="004F4C44" w:rsidRPr="00855CF2" w:rsidRDefault="004F4C44" w:rsidP="004F4C44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4F4C44" w14:paraId="45420632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936433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Data de Formalização do Título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406" w14:textId="74937B34" w:rsidR="004F4C44" w:rsidRPr="000E3388" w:rsidRDefault="004F4C44" w:rsidP="004F4C44">
            <w:pPr>
              <w:pStyle w:val="Default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(obrigatório)</w:t>
            </w:r>
          </w:p>
        </w:tc>
      </w:tr>
      <w:tr w:rsidR="004F4C44" w14:paraId="2B889F4C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F498F7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Natureza do Cliente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C52" w14:textId="18D4A8D4" w:rsidR="004F4C44" w:rsidRPr="000E3388" w:rsidRDefault="004F4C44" w:rsidP="004F4C44">
            <w:pPr>
              <w:pStyle w:val="Default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(obrigatório)</w:t>
            </w:r>
          </w:p>
        </w:tc>
      </w:tr>
      <w:tr w:rsidR="004F4C44" w14:paraId="77C5258A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53E15B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Nome/Razão Social do Cliente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31F" w14:textId="1B9CA45E" w:rsidR="004F4C44" w:rsidRPr="000E3388" w:rsidRDefault="004F4C44" w:rsidP="004F4C44">
            <w:pPr>
              <w:pStyle w:val="Default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(obrigatório)</w:t>
            </w:r>
          </w:p>
        </w:tc>
      </w:tr>
      <w:tr w:rsidR="004F4C44" w14:paraId="35DB3D2B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3E11B2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Código do Cliente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CF87" w14:textId="16F4C345" w:rsidR="004F4C44" w:rsidRPr="005059F6" w:rsidRDefault="004F4C44" w:rsidP="004F4C44">
            <w:pPr>
              <w:pStyle w:val="Default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5059F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(obrigatório)</w:t>
            </w:r>
          </w:p>
        </w:tc>
      </w:tr>
      <w:tr w:rsidR="004F4C44" w14:paraId="33436605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C66D45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Razão Social do Credor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0F4" w14:textId="164B07CD" w:rsidR="004F4C44" w:rsidRPr="005059F6" w:rsidRDefault="004F4C44" w:rsidP="004F4C44">
            <w:pPr>
              <w:pStyle w:val="Default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5059F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(obrigatório)</w:t>
            </w:r>
          </w:p>
        </w:tc>
      </w:tr>
      <w:tr w:rsidR="004F4C44" w14:paraId="36BDC11F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AD9E84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Código do Credor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97C" w14:textId="26674BA6" w:rsidR="004F4C44" w:rsidRPr="005059F6" w:rsidRDefault="004F4C44" w:rsidP="004F4C44">
            <w:pPr>
              <w:pStyle w:val="Default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5059F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(obrigatório)</w:t>
            </w:r>
          </w:p>
        </w:tc>
      </w:tr>
      <w:tr w:rsidR="004F4C44" w14:paraId="3FB3A8F3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A68925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Código do Contrato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23D7" w14:textId="77777777" w:rsidR="004F4C44" w:rsidRPr="005059F6" w:rsidRDefault="004F4C44" w:rsidP="004F4C44">
            <w:pPr>
              <w:pStyle w:val="Default"/>
              <w:adjustRightInd w:val="0"/>
              <w:ind w:left="30"/>
              <w:rPr>
                <w:rFonts w:asciiTheme="minorHAnsi" w:hAnsiTheme="minorHAnsi"/>
                <w:sz w:val="18"/>
                <w:szCs w:val="18"/>
              </w:rPr>
            </w:pPr>
            <w:r w:rsidRPr="005059F6">
              <w:rPr>
                <w:rFonts w:asciiTheme="minorHAnsi" w:hAnsiTheme="minorHAnsi"/>
                <w:sz w:val="18"/>
                <w:szCs w:val="18"/>
              </w:rPr>
              <w:t>Código SCR</w:t>
            </w:r>
          </w:p>
        </w:tc>
      </w:tr>
      <w:tr w:rsidR="004F4C44" w14:paraId="00D971C0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A6554CE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Modalidade da Operação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5D91" w14:textId="77777777" w:rsidR="004F4C44" w:rsidRPr="005059F6" w:rsidRDefault="004F4C44" w:rsidP="004F4C44">
            <w:pPr>
              <w:pStyle w:val="Default"/>
              <w:adjustRightInd w:val="0"/>
              <w:ind w:left="30"/>
              <w:rPr>
                <w:rFonts w:asciiTheme="minorHAnsi" w:hAnsiTheme="minorHAnsi"/>
                <w:sz w:val="18"/>
                <w:szCs w:val="18"/>
              </w:rPr>
            </w:pPr>
            <w:r w:rsidRPr="005059F6">
              <w:rPr>
                <w:rFonts w:asciiTheme="minorHAnsi" w:hAnsiTheme="minorHAnsi"/>
                <w:sz w:val="18"/>
                <w:szCs w:val="18"/>
              </w:rPr>
              <w:t xml:space="preserve">Preencher com o código de modalidade + </w:t>
            </w:r>
            <w:proofErr w:type="spellStart"/>
            <w:r w:rsidRPr="005059F6">
              <w:rPr>
                <w:rFonts w:asciiTheme="minorHAnsi" w:hAnsiTheme="minorHAnsi"/>
                <w:sz w:val="18"/>
                <w:szCs w:val="18"/>
              </w:rPr>
              <w:t>submodalidade</w:t>
            </w:r>
            <w:proofErr w:type="spellEnd"/>
            <w:r w:rsidRPr="005059F6">
              <w:rPr>
                <w:rFonts w:asciiTheme="minorHAnsi" w:hAnsiTheme="minorHAnsi"/>
                <w:sz w:val="18"/>
                <w:szCs w:val="18"/>
              </w:rPr>
              <w:t xml:space="preserve"> do SCR.</w:t>
            </w:r>
          </w:p>
        </w:tc>
      </w:tr>
      <w:tr w:rsidR="004F4C44" w14:paraId="1846253E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ED7FB5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Modalidade da garantia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1BFF" w14:textId="77777777" w:rsidR="004F4C44" w:rsidRPr="000E3388" w:rsidRDefault="004F4C44" w:rsidP="004F4C44">
            <w:pPr>
              <w:pStyle w:val="Default"/>
              <w:numPr>
                <w:ilvl w:val="0"/>
                <w:numId w:val="10"/>
              </w:numPr>
              <w:adjustRightInd w:val="0"/>
              <w:ind w:left="455"/>
              <w:jc w:val="both"/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</w:pPr>
            <w:r w:rsidRPr="000E3388"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  <w:t xml:space="preserve">Hipoteca 1º grau. </w:t>
            </w:r>
          </w:p>
          <w:p w14:paraId="69C3D16D" w14:textId="77777777" w:rsidR="004F4C44" w:rsidRPr="000E3388" w:rsidRDefault="004F4C44" w:rsidP="004F4C44">
            <w:pPr>
              <w:pStyle w:val="Default"/>
              <w:numPr>
                <w:ilvl w:val="0"/>
                <w:numId w:val="10"/>
              </w:numPr>
              <w:adjustRightInd w:val="0"/>
              <w:ind w:left="455"/>
              <w:jc w:val="both"/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</w:pPr>
            <w:r w:rsidRPr="000E3388">
              <w:rPr>
                <w:rFonts w:asciiTheme="minorHAnsi" w:eastAsia="Times New Roman" w:hAnsiTheme="minorHAnsi" w:cstheme="majorHAnsi"/>
                <w:color w:val="000000" w:themeColor="text1"/>
                <w:sz w:val="18"/>
                <w:szCs w:val="18"/>
              </w:rPr>
              <w:t>Alienação fiduciária.</w:t>
            </w:r>
          </w:p>
        </w:tc>
      </w:tr>
      <w:tr w:rsidR="004F4C44" w14:paraId="40BD4E8F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0F8733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Taxa Referencial ou Indexador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AE7" w14:textId="77777777" w:rsidR="004F4C44" w:rsidRPr="000E3388" w:rsidRDefault="004F4C44" w:rsidP="004F4C44">
            <w:pPr>
              <w:pStyle w:val="Default"/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C44" w14:paraId="2A3022C9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7B9818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Percentual do Indexador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9E2" w14:textId="77777777" w:rsidR="004F4C44" w:rsidRPr="000E3388" w:rsidRDefault="004F4C44" w:rsidP="004F4C44">
            <w:pPr>
              <w:pStyle w:val="Default"/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C44" w14:paraId="679D841F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3B35123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Taxa Efetiva Anual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691" w14:textId="77777777" w:rsidR="004F4C44" w:rsidRPr="000E3388" w:rsidRDefault="004F4C44" w:rsidP="004F4C44">
            <w:pPr>
              <w:pStyle w:val="Default"/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C44" w14:paraId="779137D3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0E2853C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Número de Controle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1ED2" w14:textId="77777777" w:rsidR="004F4C44" w:rsidRPr="000E3388" w:rsidRDefault="004F4C44" w:rsidP="004F4C44">
            <w:pPr>
              <w:pStyle w:val="Default"/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C44" w14:paraId="61E49B2C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179C2E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Custodiante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45F" w14:textId="77777777" w:rsidR="004F4C44" w:rsidRPr="000E3388" w:rsidRDefault="004F4C44" w:rsidP="004F4C44">
            <w:pPr>
              <w:pStyle w:val="Default"/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C44" w14:paraId="3739C93C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A21DEF2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IF Inadimplente?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BC56" w14:textId="77777777" w:rsidR="004F4C44" w:rsidRPr="000E3388" w:rsidRDefault="004F4C44" w:rsidP="004F4C44">
            <w:pPr>
              <w:pStyle w:val="Default"/>
              <w:numPr>
                <w:ilvl w:val="0"/>
                <w:numId w:val="11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Sim.</w:t>
            </w:r>
          </w:p>
          <w:p w14:paraId="6CB00196" w14:textId="77777777" w:rsidR="004F4C44" w:rsidRPr="000E3388" w:rsidRDefault="004F4C44" w:rsidP="004F4C44">
            <w:pPr>
              <w:pStyle w:val="Default"/>
              <w:numPr>
                <w:ilvl w:val="0"/>
                <w:numId w:val="11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Não.</w:t>
            </w:r>
          </w:p>
        </w:tc>
      </w:tr>
      <w:tr w:rsidR="004F4C44" w14:paraId="695345BA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EE9D272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Forma de Pagamento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C7A" w14:textId="77777777" w:rsidR="004F4C44" w:rsidRPr="000E3388" w:rsidRDefault="004F4C44" w:rsidP="004F4C44">
            <w:pPr>
              <w:pStyle w:val="Default"/>
              <w:numPr>
                <w:ilvl w:val="0"/>
                <w:numId w:val="11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 xml:space="preserve">Pagamento de Juros e Principal no vencimento. </w:t>
            </w:r>
          </w:p>
          <w:p w14:paraId="1A8BDEBA" w14:textId="77777777" w:rsidR="004F4C44" w:rsidRPr="000E3388" w:rsidRDefault="004F4C44" w:rsidP="004F4C44">
            <w:pPr>
              <w:pStyle w:val="Default"/>
              <w:numPr>
                <w:ilvl w:val="0"/>
                <w:numId w:val="11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Pagamento periódico de juros e principal no vencimento.</w:t>
            </w:r>
          </w:p>
          <w:p w14:paraId="02EC4736" w14:textId="77777777" w:rsidR="004F4C44" w:rsidRPr="000E3388" w:rsidRDefault="004F4C44" w:rsidP="004F4C44">
            <w:pPr>
              <w:pStyle w:val="Default"/>
              <w:numPr>
                <w:ilvl w:val="0"/>
                <w:numId w:val="11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 xml:space="preserve">Pagamento de Juros e Amortização Periódicos. </w:t>
            </w:r>
          </w:p>
          <w:p w14:paraId="3D749A97" w14:textId="77777777" w:rsidR="004F4C44" w:rsidRPr="000E3388" w:rsidRDefault="004F4C44" w:rsidP="004F4C44">
            <w:pPr>
              <w:pStyle w:val="Default"/>
              <w:numPr>
                <w:ilvl w:val="0"/>
                <w:numId w:val="11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 xml:space="preserve">Pagamento de Amortização Periódica e Juros no Vencimento. </w:t>
            </w:r>
          </w:p>
          <w:p w14:paraId="3D5B60A2" w14:textId="77777777" w:rsidR="004F4C44" w:rsidRPr="000E3388" w:rsidRDefault="004F4C44" w:rsidP="004F4C44">
            <w:pPr>
              <w:pStyle w:val="Default"/>
              <w:numPr>
                <w:ilvl w:val="0"/>
                <w:numId w:val="11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 xml:space="preserve">Pagamento de Principal no vencimento sem taxa de juros. </w:t>
            </w:r>
          </w:p>
          <w:p w14:paraId="75970628" w14:textId="77777777" w:rsidR="004F4C44" w:rsidRPr="000E3388" w:rsidRDefault="004F4C44" w:rsidP="004F4C44">
            <w:pPr>
              <w:pStyle w:val="Default"/>
              <w:numPr>
                <w:ilvl w:val="0"/>
                <w:numId w:val="11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lastRenderedPageBreak/>
              <w:t>Pagamento de Amortização sem taxa de juros.</w:t>
            </w:r>
          </w:p>
          <w:p w14:paraId="3DD42E88" w14:textId="77777777" w:rsidR="004F4C44" w:rsidRPr="000E3388" w:rsidRDefault="004F4C44" w:rsidP="004F4C44">
            <w:pPr>
              <w:pStyle w:val="Default"/>
              <w:numPr>
                <w:ilvl w:val="0"/>
                <w:numId w:val="11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 xml:space="preserve">Pagamento de Parcelas Fixas. </w:t>
            </w:r>
          </w:p>
          <w:p w14:paraId="1009F6F1" w14:textId="77777777" w:rsidR="004F4C44" w:rsidRPr="000E3388" w:rsidRDefault="004F4C44" w:rsidP="004F4C44">
            <w:pPr>
              <w:pStyle w:val="Default"/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C44" w14:paraId="64B2D322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A6EA08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lastRenderedPageBreak/>
              <w:t>Periodicidade de Juros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F93E" w14:textId="77777777" w:rsidR="004F4C44" w:rsidRPr="000E3388" w:rsidRDefault="004F4C44" w:rsidP="004F4C44">
            <w:pPr>
              <w:pStyle w:val="Default"/>
              <w:numPr>
                <w:ilvl w:val="0"/>
                <w:numId w:val="12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Constante.</w:t>
            </w:r>
          </w:p>
          <w:p w14:paraId="5FA28C2C" w14:textId="77777777" w:rsidR="004F4C44" w:rsidRPr="000E3388" w:rsidRDefault="004F4C44" w:rsidP="004F4C44">
            <w:pPr>
              <w:pStyle w:val="Default"/>
              <w:numPr>
                <w:ilvl w:val="0"/>
                <w:numId w:val="12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Variável.</w:t>
            </w:r>
          </w:p>
          <w:p w14:paraId="79E86D37" w14:textId="77777777" w:rsidR="004F4C44" w:rsidRPr="000E3388" w:rsidRDefault="004F4C44" w:rsidP="004F4C44">
            <w:pPr>
              <w:pStyle w:val="Default"/>
              <w:numPr>
                <w:ilvl w:val="0"/>
                <w:numId w:val="12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Não se aplica.</w:t>
            </w:r>
          </w:p>
        </w:tc>
      </w:tr>
      <w:tr w:rsidR="004F4C44" w14:paraId="11499B92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5ABECE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Juros a Cada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BD8E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Semestral.</w:t>
            </w:r>
          </w:p>
          <w:p w14:paraId="51B2A675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Mensal.</w:t>
            </w:r>
          </w:p>
          <w:p w14:paraId="4DA8C758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Quinzenal.</w:t>
            </w:r>
          </w:p>
          <w:p w14:paraId="5EF469F0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Anual</w:t>
            </w:r>
          </w:p>
          <w:p w14:paraId="6190F666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Não se aplica.</w:t>
            </w:r>
          </w:p>
        </w:tc>
      </w:tr>
      <w:tr w:rsidR="004F4C44" w14:paraId="750AE3D0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E1F4D3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Tipo de Amortização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12C1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Semestral.</w:t>
            </w:r>
          </w:p>
          <w:p w14:paraId="282E3042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Mensal.</w:t>
            </w:r>
          </w:p>
          <w:p w14:paraId="0EFE2C05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Quinzenal.</w:t>
            </w:r>
          </w:p>
          <w:p w14:paraId="47EB7FB4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Anual.</w:t>
            </w:r>
          </w:p>
          <w:p w14:paraId="308EE599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Não se aplica.</w:t>
            </w:r>
          </w:p>
        </w:tc>
      </w:tr>
      <w:tr w:rsidR="004F4C44" w14:paraId="1C922B70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DD29C79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Amortização a Cada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DD1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 xml:space="preserve">Percentual fixo, períodos uniformes, sobre valor unitário de emissão. </w:t>
            </w:r>
          </w:p>
          <w:p w14:paraId="4B3BA249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 xml:space="preserve">Percentual variável, períodos uniformes, sobre valor unitário de emissão. </w:t>
            </w:r>
          </w:p>
          <w:p w14:paraId="49CDB1FF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 xml:space="preserve">Percentual variável, períodos uniformes, sobre valor remanescente. </w:t>
            </w:r>
          </w:p>
          <w:p w14:paraId="7332578E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 xml:space="preserve">Percentual variável, períodos variáveis, sobre valor unitário de emissão. </w:t>
            </w:r>
          </w:p>
          <w:p w14:paraId="6D55CD35" w14:textId="7777777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455"/>
              <w:rPr>
                <w:rFonts w:asciiTheme="minorHAnsi" w:hAnsiTheme="minorHAnsi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 xml:space="preserve">Percentual variável, períodos variáveis, sobre valor remanescente. </w:t>
            </w:r>
          </w:p>
          <w:p w14:paraId="2E347EE9" w14:textId="0EE99767" w:rsidR="004F4C44" w:rsidRPr="000E3388" w:rsidRDefault="004F4C44" w:rsidP="004F4C44">
            <w:pPr>
              <w:pStyle w:val="Default"/>
              <w:numPr>
                <w:ilvl w:val="0"/>
                <w:numId w:val="13"/>
              </w:numPr>
              <w:adjustRightInd w:val="0"/>
              <w:ind w:left="30"/>
              <w:rPr>
                <w:rFonts w:cstheme="minorBidi"/>
                <w:color w:val="auto"/>
                <w:sz w:val="18"/>
                <w:szCs w:val="18"/>
              </w:rPr>
            </w:pPr>
            <w:r w:rsidRPr="000E3388">
              <w:rPr>
                <w:rFonts w:asciiTheme="minorHAnsi" w:hAnsiTheme="minorHAnsi"/>
                <w:sz w:val="18"/>
                <w:szCs w:val="18"/>
              </w:rPr>
              <w:t>Não se aplica.</w:t>
            </w:r>
          </w:p>
          <w:p w14:paraId="2EF588E9" w14:textId="77777777" w:rsidR="004F4C44" w:rsidRPr="000E3388" w:rsidRDefault="004F4C44" w:rsidP="004F4C44">
            <w:pPr>
              <w:pStyle w:val="Default"/>
              <w:ind w:left="45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C44" w14:paraId="63D0972E" w14:textId="77777777" w:rsidTr="000E33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E992488" w14:textId="77777777" w:rsidR="004F4C44" w:rsidRDefault="004F4C44" w:rsidP="004F4C44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Descrição Adicional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BC4" w14:textId="77777777" w:rsidR="004F4C44" w:rsidRPr="000E3388" w:rsidRDefault="004F4C44" w:rsidP="004F4C44">
            <w:pPr>
              <w:pStyle w:val="Default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92EDF57" w14:textId="77777777" w:rsidR="000E3388" w:rsidRPr="00EE5C9D" w:rsidRDefault="000E3388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18A663" w14:textId="77777777" w:rsidR="00771069" w:rsidRDefault="00771069" w:rsidP="00771069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20B41F26" w14:textId="77777777" w:rsidR="0060573F" w:rsidRPr="00CE3C82" w:rsidRDefault="0060573F" w:rsidP="0060573F">
      <w:pPr>
        <w:pStyle w:val="Default"/>
        <w:jc w:val="center"/>
        <w:rPr>
          <w:rFonts w:ascii="Arial Narrow" w:eastAsia="Times New Roman" w:hAnsi="Arial Narrow"/>
          <w:color w:val="auto"/>
          <w:sz w:val="20"/>
          <w:szCs w:val="20"/>
        </w:rPr>
      </w:pPr>
      <w:r>
        <w:rPr>
          <w:rFonts w:ascii="Arial Narrow" w:eastAsia="Times New Roman" w:hAnsi="Arial Narrow"/>
          <w:color w:val="auto"/>
          <w:sz w:val="20"/>
          <w:szCs w:val="20"/>
        </w:rPr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</w:p>
    <w:sectPr w:rsidR="0060573F" w:rsidRPr="00CE3C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2FE4" w14:textId="77777777" w:rsidR="00DC07F8" w:rsidRDefault="00DC07F8" w:rsidP="00DC07F8">
      <w:pPr>
        <w:spacing w:after="0" w:line="240" w:lineRule="auto"/>
      </w:pPr>
      <w:r>
        <w:separator/>
      </w:r>
    </w:p>
  </w:endnote>
  <w:endnote w:type="continuationSeparator" w:id="0">
    <w:p w14:paraId="27042F0A" w14:textId="77777777" w:rsidR="00DC07F8" w:rsidRDefault="00DC07F8" w:rsidP="00DC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240412"/>
      <w:docPartObj>
        <w:docPartGallery w:val="Page Numbers (Bottom of Page)"/>
        <w:docPartUnique/>
      </w:docPartObj>
    </w:sdtPr>
    <w:sdtContent>
      <w:p w14:paraId="11DA78D5" w14:textId="70E8E1E0" w:rsidR="00DC07F8" w:rsidRDefault="00DC07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7E06B5" w14:textId="77777777" w:rsidR="00DC07F8" w:rsidRDefault="00DC07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E2DA" w14:textId="77777777" w:rsidR="00DC07F8" w:rsidRDefault="00DC07F8" w:rsidP="00DC07F8">
      <w:pPr>
        <w:spacing w:after="0" w:line="240" w:lineRule="auto"/>
      </w:pPr>
      <w:r>
        <w:separator/>
      </w:r>
    </w:p>
  </w:footnote>
  <w:footnote w:type="continuationSeparator" w:id="0">
    <w:p w14:paraId="359F3285" w14:textId="77777777" w:rsidR="00DC07F8" w:rsidRDefault="00DC07F8" w:rsidP="00DC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53E0"/>
    <w:multiLevelType w:val="hybridMultilevel"/>
    <w:tmpl w:val="0F9E6A9E"/>
    <w:lvl w:ilvl="0" w:tplc="D7AC9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204"/>
    <w:multiLevelType w:val="hybridMultilevel"/>
    <w:tmpl w:val="D410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A9F"/>
    <w:multiLevelType w:val="hybridMultilevel"/>
    <w:tmpl w:val="73481290"/>
    <w:lvl w:ilvl="0" w:tplc="D7AC9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1F39"/>
    <w:multiLevelType w:val="hybridMultilevel"/>
    <w:tmpl w:val="271E0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00B0"/>
    <w:multiLevelType w:val="hybridMultilevel"/>
    <w:tmpl w:val="1490151C"/>
    <w:lvl w:ilvl="0" w:tplc="D7AC9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6223"/>
    <w:multiLevelType w:val="hybridMultilevel"/>
    <w:tmpl w:val="B2120C56"/>
    <w:lvl w:ilvl="0" w:tplc="31A4E42C">
      <w:start w:val="1"/>
      <w:numFmt w:val="upperRoman"/>
      <w:lvlText w:val="%1 - "/>
      <w:lvlJc w:val="left"/>
      <w:pPr>
        <w:ind w:left="11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9ED6F4A"/>
    <w:multiLevelType w:val="hybridMultilevel"/>
    <w:tmpl w:val="7D4C5CE8"/>
    <w:lvl w:ilvl="0" w:tplc="D7AC9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0AF0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95A37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B12F2"/>
    <w:multiLevelType w:val="hybridMultilevel"/>
    <w:tmpl w:val="67629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A1CFC"/>
    <w:multiLevelType w:val="hybridMultilevel"/>
    <w:tmpl w:val="3A9A93F6"/>
    <w:lvl w:ilvl="0" w:tplc="D7AC9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0C"/>
    <w:rsid w:val="000D36B2"/>
    <w:rsid w:val="000E3388"/>
    <w:rsid w:val="00143B62"/>
    <w:rsid w:val="001470B2"/>
    <w:rsid w:val="00183408"/>
    <w:rsid w:val="0018539B"/>
    <w:rsid w:val="0019013E"/>
    <w:rsid w:val="00195868"/>
    <w:rsid w:val="001A48EB"/>
    <w:rsid w:val="001A7138"/>
    <w:rsid w:val="001A74D2"/>
    <w:rsid w:val="001B70D2"/>
    <w:rsid w:val="001C029F"/>
    <w:rsid w:val="001C56A3"/>
    <w:rsid w:val="001D3C5A"/>
    <w:rsid w:val="001F1E66"/>
    <w:rsid w:val="00223B5B"/>
    <w:rsid w:val="002522C3"/>
    <w:rsid w:val="002722CF"/>
    <w:rsid w:val="00297E11"/>
    <w:rsid w:val="002E031C"/>
    <w:rsid w:val="002E1F83"/>
    <w:rsid w:val="002F0C95"/>
    <w:rsid w:val="003025F1"/>
    <w:rsid w:val="0032659C"/>
    <w:rsid w:val="00362A4B"/>
    <w:rsid w:val="00375B21"/>
    <w:rsid w:val="003947BB"/>
    <w:rsid w:val="00394F96"/>
    <w:rsid w:val="003C1FE9"/>
    <w:rsid w:val="003F2FD8"/>
    <w:rsid w:val="004169AB"/>
    <w:rsid w:val="004303D3"/>
    <w:rsid w:val="00430AD3"/>
    <w:rsid w:val="004332A5"/>
    <w:rsid w:val="00435449"/>
    <w:rsid w:val="0043632B"/>
    <w:rsid w:val="0044370C"/>
    <w:rsid w:val="00456EAD"/>
    <w:rsid w:val="00473EC8"/>
    <w:rsid w:val="00474E6E"/>
    <w:rsid w:val="004A2A02"/>
    <w:rsid w:val="004A66BC"/>
    <w:rsid w:val="004A7937"/>
    <w:rsid w:val="004D4F0F"/>
    <w:rsid w:val="004E0DCB"/>
    <w:rsid w:val="004E0EE6"/>
    <w:rsid w:val="004F4C44"/>
    <w:rsid w:val="004F4DC3"/>
    <w:rsid w:val="005059F6"/>
    <w:rsid w:val="00535898"/>
    <w:rsid w:val="005529BA"/>
    <w:rsid w:val="00560760"/>
    <w:rsid w:val="005A655F"/>
    <w:rsid w:val="005B7B34"/>
    <w:rsid w:val="005D49A7"/>
    <w:rsid w:val="005E0068"/>
    <w:rsid w:val="005F4902"/>
    <w:rsid w:val="005F6BD8"/>
    <w:rsid w:val="00604EAD"/>
    <w:rsid w:val="0060573F"/>
    <w:rsid w:val="00605A6D"/>
    <w:rsid w:val="00641193"/>
    <w:rsid w:val="006412EB"/>
    <w:rsid w:val="00646406"/>
    <w:rsid w:val="006538BB"/>
    <w:rsid w:val="006652E1"/>
    <w:rsid w:val="00696E74"/>
    <w:rsid w:val="006A4BDA"/>
    <w:rsid w:val="006C424A"/>
    <w:rsid w:val="006C604D"/>
    <w:rsid w:val="00705A85"/>
    <w:rsid w:val="00716B73"/>
    <w:rsid w:val="00731895"/>
    <w:rsid w:val="00735EB8"/>
    <w:rsid w:val="00744C81"/>
    <w:rsid w:val="00771069"/>
    <w:rsid w:val="007740CF"/>
    <w:rsid w:val="007B689F"/>
    <w:rsid w:val="007C6ECC"/>
    <w:rsid w:val="007D1E62"/>
    <w:rsid w:val="007F21E0"/>
    <w:rsid w:val="0084039E"/>
    <w:rsid w:val="00855CF2"/>
    <w:rsid w:val="00882781"/>
    <w:rsid w:val="00891667"/>
    <w:rsid w:val="008B2356"/>
    <w:rsid w:val="008C36E8"/>
    <w:rsid w:val="008C3A13"/>
    <w:rsid w:val="008F06D3"/>
    <w:rsid w:val="008F1EEF"/>
    <w:rsid w:val="008F5E1F"/>
    <w:rsid w:val="00911F63"/>
    <w:rsid w:val="00926A61"/>
    <w:rsid w:val="00940737"/>
    <w:rsid w:val="00945146"/>
    <w:rsid w:val="009457C5"/>
    <w:rsid w:val="00960248"/>
    <w:rsid w:val="0098756B"/>
    <w:rsid w:val="009930A7"/>
    <w:rsid w:val="009A0FFA"/>
    <w:rsid w:val="009A6092"/>
    <w:rsid w:val="009E42B5"/>
    <w:rsid w:val="00A14DFC"/>
    <w:rsid w:val="00A32510"/>
    <w:rsid w:val="00A40556"/>
    <w:rsid w:val="00A52A26"/>
    <w:rsid w:val="00A82E0A"/>
    <w:rsid w:val="00A9742F"/>
    <w:rsid w:val="00AC78A8"/>
    <w:rsid w:val="00AE4A40"/>
    <w:rsid w:val="00AF4BB0"/>
    <w:rsid w:val="00AF5844"/>
    <w:rsid w:val="00B12FF0"/>
    <w:rsid w:val="00B40334"/>
    <w:rsid w:val="00B56C2C"/>
    <w:rsid w:val="00B80868"/>
    <w:rsid w:val="00B91E95"/>
    <w:rsid w:val="00BA7512"/>
    <w:rsid w:val="00BB5DD3"/>
    <w:rsid w:val="00BC4700"/>
    <w:rsid w:val="00C0006F"/>
    <w:rsid w:val="00C00466"/>
    <w:rsid w:val="00C01A4C"/>
    <w:rsid w:val="00C1441B"/>
    <w:rsid w:val="00C174CD"/>
    <w:rsid w:val="00C308BC"/>
    <w:rsid w:val="00C51357"/>
    <w:rsid w:val="00C85F63"/>
    <w:rsid w:val="00CA2C69"/>
    <w:rsid w:val="00CA3453"/>
    <w:rsid w:val="00CC05DC"/>
    <w:rsid w:val="00CE3C82"/>
    <w:rsid w:val="00D2277A"/>
    <w:rsid w:val="00D2499C"/>
    <w:rsid w:val="00D33507"/>
    <w:rsid w:val="00D53B04"/>
    <w:rsid w:val="00D63425"/>
    <w:rsid w:val="00D97B03"/>
    <w:rsid w:val="00DA1AC3"/>
    <w:rsid w:val="00DA27C9"/>
    <w:rsid w:val="00DC07F8"/>
    <w:rsid w:val="00DD6D71"/>
    <w:rsid w:val="00E03FD4"/>
    <w:rsid w:val="00E05A45"/>
    <w:rsid w:val="00E073D9"/>
    <w:rsid w:val="00E123CA"/>
    <w:rsid w:val="00E31563"/>
    <w:rsid w:val="00E43A24"/>
    <w:rsid w:val="00E6494A"/>
    <w:rsid w:val="00E75A3E"/>
    <w:rsid w:val="00E85F54"/>
    <w:rsid w:val="00E93155"/>
    <w:rsid w:val="00E96741"/>
    <w:rsid w:val="00EB3246"/>
    <w:rsid w:val="00EB4C2A"/>
    <w:rsid w:val="00EE5C9D"/>
    <w:rsid w:val="00EE5EB3"/>
    <w:rsid w:val="00F02192"/>
    <w:rsid w:val="00F714AF"/>
    <w:rsid w:val="00F90A5F"/>
    <w:rsid w:val="00F92EAE"/>
    <w:rsid w:val="00FC3EBE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7D17"/>
  <w15:chartTrackingRefBased/>
  <w15:docId w15:val="{8936234A-2C39-4F90-99D5-D18B8A0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B7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25F1"/>
    <w:rPr>
      <w:color w:val="4472C4" w:themeColor="accent1"/>
      <w:u w:val="single"/>
    </w:rPr>
  </w:style>
  <w:style w:type="table" w:styleId="Tabelacomgrade">
    <w:name w:val="Table Grid"/>
    <w:basedOn w:val="Tabelanormal"/>
    <w:uiPriority w:val="39"/>
    <w:rsid w:val="001A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77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722C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92EAE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74E6E"/>
  </w:style>
  <w:style w:type="character" w:styleId="Refdecomentrio">
    <w:name w:val="annotation reference"/>
    <w:basedOn w:val="Fontepargpadro"/>
    <w:uiPriority w:val="99"/>
    <w:semiHidden/>
    <w:unhideWhenUsed/>
    <w:rsid w:val="006C42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42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42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42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424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C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7F8"/>
  </w:style>
  <w:style w:type="paragraph" w:styleId="Rodap">
    <w:name w:val="footer"/>
    <w:basedOn w:val="Normal"/>
    <w:link w:val="RodapChar"/>
    <w:uiPriority w:val="99"/>
    <w:unhideWhenUsed/>
    <w:rsid w:val="00DC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aobalca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FDE2-1CAC-43A5-AC26-816C5FF7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7059</TotalTime>
  <Pages>4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Jabour</dc:creator>
  <cp:keywords/>
  <dc:description/>
  <cp:lastModifiedBy>Daniela Pereira Cruz</cp:lastModifiedBy>
  <cp:revision>9</cp:revision>
  <cp:lastPrinted>2018-10-17T21:20:00Z</cp:lastPrinted>
  <dcterms:created xsi:type="dcterms:W3CDTF">2018-10-19T21:57:00Z</dcterms:created>
  <dcterms:modified xsi:type="dcterms:W3CDTF">2018-12-06T14:40:00Z</dcterms:modified>
</cp:coreProperties>
</file>