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10550" w:type="dxa"/>
        <w:jc w:val="center"/>
        <w:tblBorders>
          <w:insideH w:val="none" w:sz="0" w:space="0" w:color="auto"/>
        </w:tblBorders>
        <w:tblLayout w:type="fixed"/>
        <w:tblLook w:val="04A0" w:firstRow="1" w:lastRow="0" w:firstColumn="1" w:lastColumn="0" w:noHBand="0" w:noVBand="1"/>
      </w:tblPr>
      <w:tblGrid>
        <w:gridCol w:w="5382"/>
        <w:gridCol w:w="5168"/>
      </w:tblGrid>
      <w:tr w:rsidR="007E5AD8" w:rsidRPr="00016DC5" w14:paraId="07CBBDEC" w14:textId="77777777" w:rsidTr="00BE12AD">
        <w:trPr>
          <w:trHeight w:val="20"/>
          <w:jc w:val="center"/>
        </w:trPr>
        <w:tc>
          <w:tcPr>
            <w:tcW w:w="5382" w:type="dxa"/>
          </w:tcPr>
          <w:p w14:paraId="6EB8C9D8" w14:textId="77777777" w:rsidR="007E5AD8" w:rsidRPr="00295D4D" w:rsidRDefault="001B305F" w:rsidP="00750320">
            <w:pPr>
              <w:tabs>
                <w:tab w:val="left" w:pos="817"/>
              </w:tabs>
              <w:spacing w:line="320" w:lineRule="exact"/>
              <w:jc w:val="center"/>
              <w:outlineLvl w:val="0"/>
              <w:rPr>
                <w:rFonts w:ascii="Verdana" w:hAnsi="Verdana" w:cs="Arial"/>
                <w:b/>
                <w:bCs/>
                <w:kern w:val="28"/>
                <w:sz w:val="18"/>
                <w:szCs w:val="18"/>
                <w:lang w:eastAsia="en-GB"/>
              </w:rPr>
            </w:pPr>
            <w:r w:rsidRPr="00295D4D">
              <w:rPr>
                <w:rFonts w:ascii="Verdana" w:hAnsi="Verdana" w:cs="Arial"/>
                <w:b/>
                <w:bCs/>
                <w:kern w:val="28"/>
                <w:sz w:val="18"/>
                <w:szCs w:val="18"/>
                <w:lang w:eastAsia="en-GB"/>
              </w:rPr>
              <w:t>PEDIDO DE SUBSCRIÇÃO DA OFERTA PRIORITÁRIA</w:t>
            </w:r>
          </w:p>
        </w:tc>
        <w:tc>
          <w:tcPr>
            <w:tcW w:w="5168" w:type="dxa"/>
          </w:tcPr>
          <w:p w14:paraId="42245B34" w14:textId="44FF7E1E" w:rsidR="007E5AD8" w:rsidRPr="00295D4D" w:rsidRDefault="001B305F" w:rsidP="00750320">
            <w:pPr>
              <w:tabs>
                <w:tab w:val="left" w:pos="817"/>
              </w:tabs>
              <w:spacing w:line="320" w:lineRule="exact"/>
              <w:jc w:val="center"/>
              <w:outlineLvl w:val="0"/>
              <w:rPr>
                <w:rFonts w:ascii="Verdana" w:hAnsi="Verdana" w:cs="Arial"/>
                <w:b/>
                <w:bCs/>
                <w:kern w:val="28"/>
                <w:sz w:val="18"/>
                <w:szCs w:val="18"/>
                <w:lang w:val="en-US"/>
              </w:rPr>
            </w:pPr>
            <w:r w:rsidRPr="00295D4D">
              <w:rPr>
                <w:rFonts w:ascii="Verdana" w:hAnsi="Verdana" w:cs="Arial"/>
                <w:b/>
                <w:bCs/>
                <w:kern w:val="28"/>
                <w:sz w:val="18"/>
                <w:szCs w:val="18"/>
                <w:lang w:val="en-US"/>
              </w:rPr>
              <w:t xml:space="preserve">ORDER FOR SUBSCRIPTION OF THE PRIORITY </w:t>
            </w:r>
            <w:r w:rsidR="00473862" w:rsidRPr="00295D4D">
              <w:rPr>
                <w:rFonts w:ascii="Verdana" w:hAnsi="Verdana" w:cs="Arial"/>
                <w:b/>
                <w:bCs/>
                <w:kern w:val="28"/>
                <w:sz w:val="18"/>
                <w:szCs w:val="18"/>
                <w:lang w:val="en-US"/>
              </w:rPr>
              <w:t>OFFERING</w:t>
            </w:r>
          </w:p>
        </w:tc>
      </w:tr>
      <w:tr w:rsidR="007E5AD8" w:rsidRPr="00016DC5" w14:paraId="493D71D4" w14:textId="77777777" w:rsidTr="00BE12AD">
        <w:trPr>
          <w:trHeight w:val="20"/>
          <w:jc w:val="center"/>
        </w:trPr>
        <w:tc>
          <w:tcPr>
            <w:tcW w:w="5382" w:type="dxa"/>
          </w:tcPr>
          <w:p w14:paraId="2E41CD05" w14:textId="77777777" w:rsidR="007E5AD8" w:rsidRPr="00295D4D" w:rsidRDefault="007E5AD8" w:rsidP="00750320">
            <w:pPr>
              <w:tabs>
                <w:tab w:val="left" w:pos="817"/>
              </w:tabs>
              <w:spacing w:line="320" w:lineRule="exact"/>
              <w:jc w:val="center"/>
              <w:outlineLvl w:val="0"/>
              <w:rPr>
                <w:rFonts w:ascii="Verdana" w:hAnsi="Verdana" w:cs="Arial"/>
                <w:b/>
                <w:bCs/>
                <w:kern w:val="28"/>
                <w:sz w:val="18"/>
                <w:szCs w:val="18"/>
                <w:lang w:val="en-US" w:eastAsia="en-GB"/>
              </w:rPr>
            </w:pPr>
          </w:p>
        </w:tc>
        <w:tc>
          <w:tcPr>
            <w:tcW w:w="5168" w:type="dxa"/>
          </w:tcPr>
          <w:p w14:paraId="2D62FAD4" w14:textId="77777777" w:rsidR="007E5AD8" w:rsidRPr="00295D4D" w:rsidRDefault="007E5AD8" w:rsidP="00750320">
            <w:pPr>
              <w:tabs>
                <w:tab w:val="left" w:pos="817"/>
              </w:tabs>
              <w:spacing w:line="320" w:lineRule="exact"/>
              <w:jc w:val="center"/>
              <w:outlineLvl w:val="0"/>
              <w:rPr>
                <w:rFonts w:ascii="Verdana" w:hAnsi="Verdana" w:cs="Arial"/>
                <w:b/>
                <w:bCs/>
                <w:kern w:val="28"/>
                <w:sz w:val="18"/>
                <w:szCs w:val="18"/>
                <w:lang w:val="en-US"/>
              </w:rPr>
            </w:pPr>
          </w:p>
        </w:tc>
      </w:tr>
      <w:tr w:rsidR="007E5AD8" w:rsidRPr="0014194B" w14:paraId="2459BFA4" w14:textId="77777777" w:rsidTr="00BE12AD">
        <w:trPr>
          <w:trHeight w:val="20"/>
          <w:jc w:val="center"/>
        </w:trPr>
        <w:tc>
          <w:tcPr>
            <w:tcW w:w="5382" w:type="dxa"/>
          </w:tcPr>
          <w:p w14:paraId="5544B18C" w14:textId="35F62D55" w:rsidR="007E5AD8" w:rsidRPr="00295D4D" w:rsidRDefault="001B305F" w:rsidP="00750320">
            <w:pPr>
              <w:tabs>
                <w:tab w:val="left" w:pos="817"/>
              </w:tabs>
              <w:spacing w:line="320" w:lineRule="exact"/>
              <w:jc w:val="center"/>
              <w:outlineLvl w:val="0"/>
              <w:rPr>
                <w:rFonts w:ascii="Verdana" w:hAnsi="Verdana" w:cs="Arial"/>
                <w:b/>
                <w:bCs/>
                <w:kern w:val="28"/>
                <w:sz w:val="18"/>
                <w:szCs w:val="18"/>
                <w:lang w:eastAsia="en-GB"/>
              </w:rPr>
            </w:pPr>
            <w:r w:rsidRPr="00295D4D">
              <w:rPr>
                <w:rFonts w:ascii="Verdana" w:hAnsi="Verdana" w:cs="Arial"/>
                <w:b/>
                <w:bCs/>
                <w:kern w:val="28"/>
                <w:sz w:val="18"/>
                <w:szCs w:val="18"/>
                <w:lang w:eastAsia="en-GB"/>
              </w:rPr>
              <w:t>PARA ACIONISTAS DA</w:t>
            </w:r>
          </w:p>
          <w:p w14:paraId="37EC9A84" w14:textId="39F968B6" w:rsidR="007E5AD8" w:rsidRPr="00295D4D" w:rsidRDefault="007E5AD8" w:rsidP="00750320">
            <w:pPr>
              <w:tabs>
                <w:tab w:val="left" w:pos="817"/>
              </w:tabs>
              <w:spacing w:line="320" w:lineRule="exact"/>
              <w:jc w:val="center"/>
              <w:outlineLvl w:val="0"/>
              <w:rPr>
                <w:rFonts w:ascii="Verdana" w:hAnsi="Verdana" w:cs="Arial"/>
                <w:b/>
                <w:bCs/>
                <w:kern w:val="28"/>
                <w:sz w:val="18"/>
                <w:szCs w:val="18"/>
                <w:lang w:eastAsia="en-GB"/>
              </w:rPr>
            </w:pPr>
          </w:p>
        </w:tc>
        <w:tc>
          <w:tcPr>
            <w:tcW w:w="5168" w:type="dxa"/>
          </w:tcPr>
          <w:p w14:paraId="0AF07E4B" w14:textId="4632F24F" w:rsidR="007E5AD8" w:rsidRPr="00295D4D" w:rsidRDefault="001B305F" w:rsidP="00750320">
            <w:pPr>
              <w:tabs>
                <w:tab w:val="left" w:pos="817"/>
              </w:tabs>
              <w:spacing w:line="320" w:lineRule="exact"/>
              <w:jc w:val="center"/>
              <w:outlineLvl w:val="0"/>
              <w:rPr>
                <w:rFonts w:ascii="Verdana" w:hAnsi="Verdana" w:cs="Arial"/>
                <w:b/>
                <w:bCs/>
                <w:kern w:val="28"/>
                <w:sz w:val="18"/>
                <w:szCs w:val="18"/>
                <w:lang w:val="en-US"/>
              </w:rPr>
            </w:pPr>
            <w:r w:rsidRPr="00295D4D">
              <w:rPr>
                <w:rFonts w:ascii="Verdana" w:hAnsi="Verdana" w:cs="Arial"/>
                <w:b/>
                <w:bCs/>
                <w:kern w:val="28"/>
                <w:sz w:val="18"/>
                <w:szCs w:val="18"/>
                <w:lang w:val="en-US"/>
              </w:rPr>
              <w:t>FOR SHAREHOLDERS OF</w:t>
            </w:r>
          </w:p>
          <w:p w14:paraId="4729A989" w14:textId="53CB843A" w:rsidR="007E5AD8" w:rsidRPr="00295D4D" w:rsidRDefault="007E5AD8" w:rsidP="00750320">
            <w:pPr>
              <w:tabs>
                <w:tab w:val="left" w:pos="817"/>
              </w:tabs>
              <w:spacing w:line="320" w:lineRule="exact"/>
              <w:jc w:val="center"/>
              <w:outlineLvl w:val="0"/>
              <w:rPr>
                <w:rFonts w:ascii="Verdana" w:hAnsi="Verdana" w:cs="Arial"/>
                <w:b/>
                <w:bCs/>
                <w:kern w:val="28"/>
                <w:sz w:val="18"/>
                <w:szCs w:val="18"/>
                <w:lang w:val="en-US"/>
              </w:rPr>
            </w:pPr>
          </w:p>
        </w:tc>
      </w:tr>
      <w:tr w:rsidR="007E5AD8" w:rsidRPr="0014194B" w14:paraId="7EF2D9C9" w14:textId="77777777" w:rsidTr="00BE12AD">
        <w:trPr>
          <w:trHeight w:val="20"/>
          <w:jc w:val="center"/>
        </w:trPr>
        <w:tc>
          <w:tcPr>
            <w:tcW w:w="5382" w:type="dxa"/>
          </w:tcPr>
          <w:p w14:paraId="2219CC60" w14:textId="7342744F" w:rsidR="007E5AD8" w:rsidRPr="00295D4D" w:rsidRDefault="005A31B2" w:rsidP="00750320">
            <w:pPr>
              <w:tabs>
                <w:tab w:val="left" w:pos="817"/>
              </w:tabs>
              <w:spacing w:line="320" w:lineRule="exact"/>
              <w:outlineLvl w:val="0"/>
              <w:rPr>
                <w:rFonts w:ascii="Verdana" w:hAnsi="Verdana" w:cs="Arial"/>
                <w:b/>
                <w:bCs/>
                <w:kern w:val="28"/>
                <w:sz w:val="18"/>
                <w:szCs w:val="18"/>
                <w:lang w:eastAsia="en-GB"/>
              </w:rPr>
            </w:pPr>
            <w:r w:rsidRPr="00295D4D">
              <w:rPr>
                <w:rFonts w:ascii="Verdana" w:hAnsi="Verdana" w:cs="Arial"/>
                <w:b/>
                <w:bCs/>
                <w:noProof/>
                <w:sz w:val="18"/>
                <w:szCs w:val="18"/>
              </w:rPr>
              <w:drawing>
                <wp:anchor distT="0" distB="0" distL="114300" distR="114300" simplePos="0" relativeHeight="251659264" behindDoc="1" locked="0" layoutInCell="1" allowOverlap="1" wp14:anchorId="3AFC973D" wp14:editId="59157D10">
                  <wp:simplePos x="0" y="0"/>
                  <wp:positionH relativeFrom="column">
                    <wp:posOffset>949325</wp:posOffset>
                  </wp:positionH>
                  <wp:positionV relativeFrom="paragraph">
                    <wp:posOffset>0</wp:posOffset>
                  </wp:positionV>
                  <wp:extent cx="996950" cy="464820"/>
                  <wp:effectExtent l="0" t="0" r="0" b="0"/>
                  <wp:wrapTopAndBottom/>
                  <wp:docPr id="171476917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6950" cy="464820"/>
                          </a:xfrm>
                          <a:prstGeom prst="rect">
                            <a:avLst/>
                          </a:prstGeom>
                          <a:noFill/>
                        </pic:spPr>
                      </pic:pic>
                    </a:graphicData>
                  </a:graphic>
                  <wp14:sizeRelH relativeFrom="margin">
                    <wp14:pctWidth>0</wp14:pctWidth>
                  </wp14:sizeRelH>
                  <wp14:sizeRelV relativeFrom="margin">
                    <wp14:pctHeight>0</wp14:pctHeight>
                  </wp14:sizeRelV>
                </wp:anchor>
              </w:drawing>
            </w:r>
          </w:p>
        </w:tc>
        <w:tc>
          <w:tcPr>
            <w:tcW w:w="5168" w:type="dxa"/>
          </w:tcPr>
          <w:p w14:paraId="52C23187" w14:textId="48D1FC0C" w:rsidR="007E5AD8" w:rsidRPr="00295D4D" w:rsidRDefault="00A01D49" w:rsidP="00750320">
            <w:pPr>
              <w:tabs>
                <w:tab w:val="left" w:pos="817"/>
              </w:tabs>
              <w:spacing w:line="320" w:lineRule="exact"/>
              <w:jc w:val="center"/>
              <w:outlineLvl w:val="0"/>
              <w:rPr>
                <w:rFonts w:ascii="Verdana" w:hAnsi="Verdana" w:cs="Arial"/>
                <w:b/>
                <w:bCs/>
                <w:kern w:val="28"/>
                <w:sz w:val="18"/>
                <w:szCs w:val="18"/>
                <w:lang w:val="en-US" w:eastAsia="en-GB"/>
              </w:rPr>
            </w:pPr>
            <w:r w:rsidRPr="00295D4D">
              <w:rPr>
                <w:rFonts w:ascii="Verdana" w:hAnsi="Verdana" w:cs="Arial"/>
                <w:b/>
                <w:bCs/>
                <w:noProof/>
                <w:sz w:val="18"/>
                <w:szCs w:val="18"/>
              </w:rPr>
              <w:drawing>
                <wp:anchor distT="0" distB="0" distL="114300" distR="114300" simplePos="0" relativeHeight="251661312" behindDoc="1" locked="0" layoutInCell="1" allowOverlap="1" wp14:anchorId="355491D9" wp14:editId="13B8E01A">
                  <wp:simplePos x="0" y="0"/>
                  <wp:positionH relativeFrom="column">
                    <wp:posOffset>1039495</wp:posOffset>
                  </wp:positionH>
                  <wp:positionV relativeFrom="paragraph">
                    <wp:posOffset>0</wp:posOffset>
                  </wp:positionV>
                  <wp:extent cx="996950" cy="464820"/>
                  <wp:effectExtent l="0" t="0" r="0" b="0"/>
                  <wp:wrapTopAndBottom/>
                  <wp:docPr id="192077183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6950" cy="464820"/>
                          </a:xfrm>
                          <a:prstGeom prst="rect">
                            <a:avLst/>
                          </a:prstGeom>
                          <a:noFill/>
                        </pic:spPr>
                      </pic:pic>
                    </a:graphicData>
                  </a:graphic>
                  <wp14:sizeRelH relativeFrom="margin">
                    <wp14:pctWidth>0</wp14:pctWidth>
                  </wp14:sizeRelH>
                  <wp14:sizeRelV relativeFrom="margin">
                    <wp14:pctHeight>0</wp14:pctHeight>
                  </wp14:sizeRelV>
                </wp:anchor>
              </w:drawing>
            </w:r>
          </w:p>
        </w:tc>
      </w:tr>
      <w:tr w:rsidR="007E5AD8" w:rsidRPr="0014194B" w14:paraId="7C003551" w14:textId="77777777" w:rsidTr="00BE12AD">
        <w:trPr>
          <w:trHeight w:val="20"/>
          <w:jc w:val="center"/>
        </w:trPr>
        <w:tc>
          <w:tcPr>
            <w:tcW w:w="5382" w:type="dxa"/>
          </w:tcPr>
          <w:p w14:paraId="6B729E22" w14:textId="473539B2" w:rsidR="007E5AD8" w:rsidRPr="00295D4D" w:rsidRDefault="00A01D49" w:rsidP="00750320">
            <w:pPr>
              <w:tabs>
                <w:tab w:val="left" w:pos="817"/>
              </w:tabs>
              <w:spacing w:line="320" w:lineRule="exact"/>
              <w:jc w:val="center"/>
              <w:rPr>
                <w:rFonts w:ascii="Verdana" w:hAnsi="Verdana" w:cs="Arial"/>
                <w:b/>
                <w:kern w:val="20"/>
                <w:sz w:val="18"/>
                <w:szCs w:val="18"/>
                <w:lang w:eastAsia="en-GB"/>
              </w:rPr>
            </w:pPr>
            <w:r w:rsidRPr="00295D4D">
              <w:rPr>
                <w:rFonts w:ascii="Verdana" w:hAnsi="Verdana" w:cs="Arial"/>
                <w:b/>
                <w:kern w:val="20"/>
                <w:sz w:val="18"/>
                <w:szCs w:val="18"/>
                <w:lang w:eastAsia="en-GB"/>
              </w:rPr>
              <w:t>AZUL</w:t>
            </w:r>
            <w:r w:rsidR="002B0752" w:rsidRPr="00295D4D">
              <w:rPr>
                <w:rFonts w:ascii="Verdana" w:hAnsi="Verdana" w:cs="Arial"/>
                <w:b/>
                <w:kern w:val="20"/>
                <w:sz w:val="18"/>
                <w:szCs w:val="18"/>
                <w:lang w:eastAsia="en-GB"/>
              </w:rPr>
              <w:t xml:space="preserve"> S.A.</w:t>
            </w:r>
          </w:p>
        </w:tc>
        <w:tc>
          <w:tcPr>
            <w:tcW w:w="5168" w:type="dxa"/>
          </w:tcPr>
          <w:p w14:paraId="272971D1" w14:textId="5FF34E4F" w:rsidR="007E5AD8" w:rsidRPr="00295D4D" w:rsidRDefault="00A01D49" w:rsidP="00750320">
            <w:pPr>
              <w:tabs>
                <w:tab w:val="left" w:pos="817"/>
              </w:tabs>
              <w:spacing w:line="320" w:lineRule="exact"/>
              <w:jc w:val="center"/>
              <w:rPr>
                <w:rFonts w:ascii="Verdana" w:hAnsi="Verdana" w:cs="Arial"/>
                <w:b/>
                <w:kern w:val="20"/>
                <w:sz w:val="18"/>
                <w:szCs w:val="18"/>
              </w:rPr>
            </w:pPr>
            <w:r w:rsidRPr="00295D4D">
              <w:rPr>
                <w:rFonts w:ascii="Verdana" w:hAnsi="Verdana" w:cs="Arial"/>
                <w:b/>
                <w:kern w:val="20"/>
                <w:sz w:val="18"/>
                <w:szCs w:val="18"/>
                <w:lang w:eastAsia="en-GB"/>
              </w:rPr>
              <w:t>AZUL</w:t>
            </w:r>
            <w:r w:rsidR="002B0752" w:rsidRPr="00295D4D">
              <w:rPr>
                <w:rFonts w:ascii="Verdana" w:hAnsi="Verdana" w:cs="Arial"/>
                <w:b/>
                <w:kern w:val="20"/>
                <w:sz w:val="18"/>
                <w:szCs w:val="18"/>
                <w:lang w:eastAsia="en-GB"/>
              </w:rPr>
              <w:t xml:space="preserve"> S.A.</w:t>
            </w:r>
          </w:p>
        </w:tc>
      </w:tr>
      <w:tr w:rsidR="007E5AD8" w:rsidRPr="0014194B" w14:paraId="505D0E1A" w14:textId="77777777" w:rsidTr="00BE12AD">
        <w:trPr>
          <w:trHeight w:val="20"/>
          <w:jc w:val="center"/>
        </w:trPr>
        <w:tc>
          <w:tcPr>
            <w:tcW w:w="5382" w:type="dxa"/>
          </w:tcPr>
          <w:p w14:paraId="2F0A4ED3" w14:textId="77777777" w:rsidR="007E5AD8" w:rsidRPr="00295D4D" w:rsidRDefault="007E5AD8" w:rsidP="00750320">
            <w:pPr>
              <w:tabs>
                <w:tab w:val="left" w:pos="817"/>
              </w:tabs>
              <w:spacing w:line="320" w:lineRule="exact"/>
              <w:jc w:val="center"/>
              <w:rPr>
                <w:rFonts w:ascii="Verdana" w:hAnsi="Verdana" w:cs="Arial"/>
                <w:kern w:val="20"/>
                <w:sz w:val="18"/>
                <w:szCs w:val="18"/>
                <w:lang w:eastAsia="en-GB"/>
              </w:rPr>
            </w:pPr>
          </w:p>
        </w:tc>
        <w:tc>
          <w:tcPr>
            <w:tcW w:w="5168" w:type="dxa"/>
          </w:tcPr>
          <w:p w14:paraId="397ECBCB" w14:textId="77777777" w:rsidR="007E5AD8" w:rsidRPr="00295D4D" w:rsidRDefault="007E5AD8" w:rsidP="00750320">
            <w:pPr>
              <w:tabs>
                <w:tab w:val="left" w:pos="817"/>
              </w:tabs>
              <w:spacing w:line="320" w:lineRule="exact"/>
              <w:jc w:val="center"/>
              <w:rPr>
                <w:rFonts w:ascii="Verdana" w:hAnsi="Verdana" w:cs="Arial"/>
                <w:kern w:val="20"/>
                <w:sz w:val="18"/>
                <w:szCs w:val="18"/>
              </w:rPr>
            </w:pPr>
          </w:p>
        </w:tc>
      </w:tr>
      <w:tr w:rsidR="007E5AD8" w:rsidRPr="0014194B" w14:paraId="31868CFE" w14:textId="77777777" w:rsidTr="00BE12AD">
        <w:trPr>
          <w:trHeight w:val="20"/>
          <w:jc w:val="center"/>
        </w:trPr>
        <w:tc>
          <w:tcPr>
            <w:tcW w:w="5382" w:type="dxa"/>
          </w:tcPr>
          <w:p w14:paraId="7721041F" w14:textId="760836D2" w:rsidR="005F6E2F" w:rsidRPr="00295D4D" w:rsidRDefault="001B305F" w:rsidP="00750320">
            <w:pPr>
              <w:tabs>
                <w:tab w:val="left" w:pos="817"/>
              </w:tabs>
              <w:spacing w:line="320" w:lineRule="exact"/>
              <w:jc w:val="center"/>
              <w:rPr>
                <w:rFonts w:ascii="Verdana" w:hAnsi="Verdana" w:cs="Arial"/>
                <w:kern w:val="20"/>
                <w:sz w:val="18"/>
                <w:szCs w:val="18"/>
                <w:lang w:eastAsia="en-GB"/>
              </w:rPr>
            </w:pPr>
            <w:r w:rsidRPr="00295D4D">
              <w:rPr>
                <w:rFonts w:ascii="Verdana" w:hAnsi="Verdana" w:cs="Arial"/>
                <w:kern w:val="20"/>
                <w:sz w:val="18"/>
                <w:szCs w:val="18"/>
                <w:lang w:eastAsia="en-GB"/>
              </w:rPr>
              <w:t xml:space="preserve">Companhia Aberta (Categoria </w:t>
            </w:r>
            <w:r w:rsidR="00750320" w:rsidRPr="00295D4D">
              <w:rPr>
                <w:rFonts w:ascii="Verdana" w:hAnsi="Verdana" w:cs="Arial"/>
                <w:kern w:val="20"/>
                <w:sz w:val="18"/>
                <w:szCs w:val="18"/>
                <w:lang w:eastAsia="en-GB"/>
              </w:rPr>
              <w:t>“</w:t>
            </w:r>
            <w:r w:rsidRPr="00295D4D">
              <w:rPr>
                <w:rFonts w:ascii="Verdana" w:hAnsi="Verdana" w:cs="Arial"/>
                <w:kern w:val="20"/>
                <w:sz w:val="18"/>
                <w:szCs w:val="18"/>
                <w:lang w:eastAsia="en-GB"/>
              </w:rPr>
              <w:t>A</w:t>
            </w:r>
            <w:r w:rsidR="00750320" w:rsidRPr="00295D4D">
              <w:rPr>
                <w:rFonts w:ascii="Verdana" w:hAnsi="Verdana" w:cs="Arial"/>
                <w:kern w:val="20"/>
                <w:sz w:val="18"/>
                <w:szCs w:val="18"/>
                <w:lang w:eastAsia="en-GB"/>
              </w:rPr>
              <w:t>”</w:t>
            </w:r>
            <w:r w:rsidRPr="00295D4D">
              <w:rPr>
                <w:rFonts w:ascii="Verdana" w:hAnsi="Verdana" w:cs="Arial"/>
                <w:kern w:val="20"/>
                <w:sz w:val="18"/>
                <w:szCs w:val="18"/>
                <w:lang w:eastAsia="en-GB"/>
              </w:rPr>
              <w:t>)</w:t>
            </w:r>
          </w:p>
          <w:p w14:paraId="1CF2CFBE" w14:textId="7ED89E50" w:rsidR="007E5AD8" w:rsidRPr="00295D4D" w:rsidRDefault="001B305F" w:rsidP="00750320">
            <w:pPr>
              <w:tabs>
                <w:tab w:val="left" w:pos="817"/>
              </w:tabs>
              <w:spacing w:line="320" w:lineRule="exact"/>
              <w:jc w:val="center"/>
              <w:rPr>
                <w:rFonts w:ascii="Verdana" w:hAnsi="Verdana" w:cs="Arial"/>
                <w:kern w:val="20"/>
                <w:sz w:val="18"/>
                <w:szCs w:val="18"/>
                <w:lang w:eastAsia="en-GB"/>
              </w:rPr>
            </w:pPr>
            <w:r w:rsidRPr="00295D4D">
              <w:rPr>
                <w:rFonts w:ascii="Verdana" w:hAnsi="Verdana" w:cs="Arial"/>
                <w:kern w:val="20"/>
                <w:sz w:val="18"/>
                <w:szCs w:val="18"/>
                <w:lang w:eastAsia="en-GB"/>
              </w:rPr>
              <w:t>Código CVM nº</w:t>
            </w:r>
            <w:r w:rsidR="00700E1A" w:rsidRPr="00295D4D">
              <w:rPr>
                <w:rFonts w:ascii="Verdana" w:hAnsi="Verdana" w:cs="Arial"/>
                <w:kern w:val="20"/>
                <w:sz w:val="18"/>
                <w:szCs w:val="18"/>
                <w:lang w:eastAsia="en-GB"/>
              </w:rPr>
              <w:t xml:space="preserve"> </w:t>
            </w:r>
            <w:r w:rsidR="005F6E2F" w:rsidRPr="00295D4D">
              <w:rPr>
                <w:rFonts w:ascii="Verdana" w:hAnsi="Verdana" w:cs="Arial"/>
                <w:kern w:val="20"/>
                <w:sz w:val="18"/>
                <w:szCs w:val="18"/>
                <w:lang w:eastAsia="en-GB"/>
              </w:rPr>
              <w:t>2</w:t>
            </w:r>
            <w:r w:rsidR="00A01D49" w:rsidRPr="00295D4D">
              <w:rPr>
                <w:rFonts w:ascii="Verdana" w:hAnsi="Verdana" w:cs="Arial"/>
                <w:kern w:val="20"/>
                <w:sz w:val="18"/>
                <w:szCs w:val="18"/>
                <w:lang w:eastAsia="en-GB"/>
              </w:rPr>
              <w:t>411-2</w:t>
            </w:r>
            <w:hyperlink r:id="rId20" w:history="1"/>
          </w:p>
        </w:tc>
        <w:tc>
          <w:tcPr>
            <w:tcW w:w="5168" w:type="dxa"/>
          </w:tcPr>
          <w:p w14:paraId="2A186CC3" w14:textId="44FE1182" w:rsidR="007E5AD8" w:rsidRPr="006A49F4" w:rsidRDefault="005235F7" w:rsidP="00750320">
            <w:pPr>
              <w:tabs>
                <w:tab w:val="left" w:pos="817"/>
              </w:tabs>
              <w:spacing w:line="320" w:lineRule="exact"/>
              <w:jc w:val="center"/>
              <w:rPr>
                <w:rFonts w:ascii="Verdana" w:hAnsi="Verdana" w:cs="Arial"/>
                <w:kern w:val="20"/>
                <w:sz w:val="18"/>
                <w:szCs w:val="18"/>
                <w:lang w:val="en-US" w:eastAsia="en-GB"/>
              </w:rPr>
            </w:pPr>
            <w:r w:rsidRPr="006A49F4">
              <w:rPr>
                <w:rFonts w:ascii="Verdana" w:hAnsi="Verdana" w:cs="Arial"/>
                <w:kern w:val="20"/>
                <w:sz w:val="18"/>
                <w:szCs w:val="18"/>
                <w:lang w:val="en-US"/>
              </w:rPr>
              <w:t>Publicly Held</w:t>
            </w:r>
            <w:r w:rsidR="001B305F" w:rsidRPr="006A49F4">
              <w:rPr>
                <w:rFonts w:ascii="Verdana" w:hAnsi="Verdana" w:cs="Arial"/>
                <w:kern w:val="20"/>
                <w:sz w:val="18"/>
                <w:szCs w:val="18"/>
                <w:lang w:val="en-US"/>
              </w:rPr>
              <w:t xml:space="preserve"> </w:t>
            </w:r>
            <w:r w:rsidR="001B305F" w:rsidRPr="006A49F4">
              <w:rPr>
                <w:rFonts w:ascii="Verdana" w:hAnsi="Verdana" w:cs="Arial"/>
                <w:kern w:val="20"/>
                <w:sz w:val="18"/>
                <w:szCs w:val="18"/>
                <w:lang w:val="en-US" w:eastAsia="en-GB"/>
              </w:rPr>
              <w:t xml:space="preserve">Company (Category </w:t>
            </w:r>
            <w:r w:rsidR="00750320" w:rsidRPr="006A49F4">
              <w:rPr>
                <w:rFonts w:ascii="Verdana" w:hAnsi="Verdana" w:cs="Arial"/>
                <w:kern w:val="20"/>
                <w:sz w:val="18"/>
                <w:szCs w:val="18"/>
                <w:lang w:val="en-US" w:eastAsia="en-GB"/>
              </w:rPr>
              <w:t>“</w:t>
            </w:r>
            <w:r w:rsidR="001B305F" w:rsidRPr="006A49F4">
              <w:rPr>
                <w:rFonts w:ascii="Verdana" w:hAnsi="Verdana" w:cs="Arial"/>
                <w:kern w:val="20"/>
                <w:sz w:val="18"/>
                <w:szCs w:val="18"/>
                <w:lang w:val="en-US" w:eastAsia="en-GB"/>
              </w:rPr>
              <w:t>A</w:t>
            </w:r>
            <w:r w:rsidR="00750320" w:rsidRPr="006A49F4">
              <w:rPr>
                <w:rFonts w:ascii="Verdana" w:hAnsi="Verdana" w:cs="Arial"/>
                <w:kern w:val="20"/>
                <w:sz w:val="18"/>
                <w:szCs w:val="18"/>
                <w:lang w:val="en-US" w:eastAsia="en-GB"/>
              </w:rPr>
              <w:t>”</w:t>
            </w:r>
            <w:r w:rsidR="001B305F" w:rsidRPr="006A49F4">
              <w:rPr>
                <w:rFonts w:ascii="Verdana" w:hAnsi="Verdana" w:cs="Arial"/>
                <w:kern w:val="20"/>
                <w:sz w:val="18"/>
                <w:szCs w:val="18"/>
                <w:lang w:val="en-US" w:eastAsia="en-GB"/>
              </w:rPr>
              <w:t xml:space="preserve">) </w:t>
            </w:r>
          </w:p>
          <w:p w14:paraId="06114C49" w14:textId="573E7266" w:rsidR="007E5AD8" w:rsidRPr="006A49F4" w:rsidRDefault="001B305F" w:rsidP="00750320">
            <w:pPr>
              <w:tabs>
                <w:tab w:val="left" w:pos="817"/>
              </w:tabs>
              <w:spacing w:line="320" w:lineRule="exact"/>
              <w:jc w:val="center"/>
              <w:rPr>
                <w:rFonts w:ascii="Verdana" w:hAnsi="Verdana" w:cs="Arial"/>
                <w:kern w:val="20"/>
                <w:sz w:val="18"/>
                <w:szCs w:val="18"/>
                <w:lang w:val="en-US"/>
              </w:rPr>
            </w:pPr>
            <w:r w:rsidRPr="006A49F4">
              <w:rPr>
                <w:rFonts w:ascii="Verdana" w:hAnsi="Verdana" w:cs="Arial"/>
                <w:kern w:val="20"/>
                <w:sz w:val="18"/>
                <w:szCs w:val="18"/>
                <w:lang w:val="en-US" w:eastAsia="en-GB"/>
              </w:rPr>
              <w:t>CVM Code No.</w:t>
            </w:r>
            <w:r w:rsidR="00700E1A" w:rsidRPr="006A49F4">
              <w:rPr>
                <w:rFonts w:ascii="Verdana" w:hAnsi="Verdana" w:cs="Arial"/>
                <w:kern w:val="20"/>
                <w:sz w:val="18"/>
                <w:szCs w:val="18"/>
                <w:lang w:val="en-US" w:eastAsia="en-GB"/>
              </w:rPr>
              <w:t xml:space="preserve"> </w:t>
            </w:r>
            <w:r w:rsidR="00A01D49" w:rsidRPr="006A49F4">
              <w:rPr>
                <w:rFonts w:ascii="Verdana" w:hAnsi="Verdana" w:cs="Arial"/>
                <w:kern w:val="20"/>
                <w:sz w:val="18"/>
                <w:szCs w:val="18"/>
                <w:lang w:val="en-US" w:eastAsia="en-GB"/>
              </w:rPr>
              <w:t>2411</w:t>
            </w:r>
            <w:r w:rsidR="005F6E2F" w:rsidRPr="006A49F4">
              <w:rPr>
                <w:rFonts w:ascii="Verdana" w:hAnsi="Verdana" w:cs="Arial"/>
                <w:kern w:val="20"/>
                <w:sz w:val="18"/>
                <w:szCs w:val="18"/>
                <w:lang w:val="en-US" w:eastAsia="en-GB"/>
              </w:rPr>
              <w:t>-2</w:t>
            </w:r>
          </w:p>
          <w:p w14:paraId="60A83F05" w14:textId="77777777" w:rsidR="007E5AD8" w:rsidRPr="00295D4D" w:rsidRDefault="007E5AD8" w:rsidP="00750320">
            <w:pPr>
              <w:tabs>
                <w:tab w:val="left" w:pos="817"/>
              </w:tabs>
              <w:spacing w:line="320" w:lineRule="exact"/>
              <w:jc w:val="center"/>
              <w:rPr>
                <w:rFonts w:ascii="Verdana" w:hAnsi="Verdana" w:cs="Arial"/>
                <w:kern w:val="20"/>
                <w:sz w:val="18"/>
                <w:szCs w:val="18"/>
                <w:lang w:val="en-US"/>
              </w:rPr>
            </w:pPr>
          </w:p>
        </w:tc>
      </w:tr>
      <w:tr w:rsidR="007E5AD8" w:rsidRPr="0014194B" w14:paraId="03ADB625" w14:textId="77777777" w:rsidTr="00BE12AD">
        <w:trPr>
          <w:trHeight w:val="20"/>
          <w:jc w:val="center"/>
        </w:trPr>
        <w:tc>
          <w:tcPr>
            <w:tcW w:w="5382" w:type="dxa"/>
          </w:tcPr>
          <w:p w14:paraId="1D776083" w14:textId="5A18B30B" w:rsidR="00754597" w:rsidRPr="00295D4D" w:rsidRDefault="00754597" w:rsidP="00750320">
            <w:pPr>
              <w:tabs>
                <w:tab w:val="left" w:pos="817"/>
              </w:tabs>
              <w:spacing w:line="320" w:lineRule="exact"/>
              <w:jc w:val="center"/>
              <w:rPr>
                <w:rFonts w:ascii="Verdana" w:hAnsi="Verdana" w:cs="Arial"/>
                <w:kern w:val="20"/>
                <w:sz w:val="18"/>
                <w:szCs w:val="18"/>
                <w:lang w:eastAsia="en-GB"/>
              </w:rPr>
            </w:pPr>
            <w:bookmarkStart w:id="0" w:name="_Hlk52896026"/>
            <w:r w:rsidRPr="00295D4D">
              <w:rPr>
                <w:rFonts w:ascii="Verdana" w:hAnsi="Verdana" w:cs="Arial"/>
                <w:kern w:val="20"/>
                <w:sz w:val="18"/>
                <w:szCs w:val="18"/>
                <w:lang w:eastAsia="en-GB"/>
              </w:rPr>
              <w:t>Av</w:t>
            </w:r>
            <w:r w:rsidR="00213874" w:rsidRPr="00295D4D">
              <w:rPr>
                <w:rFonts w:ascii="Verdana" w:hAnsi="Verdana" w:cs="Arial"/>
                <w:kern w:val="20"/>
                <w:sz w:val="18"/>
                <w:szCs w:val="18"/>
                <w:lang w:eastAsia="en-GB"/>
              </w:rPr>
              <w:t>.</w:t>
            </w:r>
            <w:r w:rsidRPr="00295D4D">
              <w:rPr>
                <w:rFonts w:ascii="Verdana" w:hAnsi="Verdana" w:cs="Arial"/>
                <w:kern w:val="20"/>
                <w:sz w:val="18"/>
                <w:szCs w:val="18"/>
                <w:lang w:eastAsia="en-GB"/>
              </w:rPr>
              <w:t xml:space="preserve"> Marcos Penteado de Ulhôa Rodrigues</w:t>
            </w:r>
            <w:r w:rsidR="002309DC">
              <w:rPr>
                <w:rFonts w:ascii="Verdana" w:hAnsi="Verdana" w:cs="Arial"/>
                <w:kern w:val="20"/>
                <w:sz w:val="18"/>
                <w:szCs w:val="18"/>
                <w:lang w:eastAsia="en-GB"/>
              </w:rPr>
              <w:t>,</w:t>
            </w:r>
            <w:r w:rsidRPr="00295D4D">
              <w:rPr>
                <w:rFonts w:ascii="Verdana" w:hAnsi="Verdana" w:cs="Arial"/>
                <w:kern w:val="20"/>
                <w:sz w:val="18"/>
                <w:szCs w:val="18"/>
                <w:lang w:eastAsia="en-GB"/>
              </w:rPr>
              <w:t xml:space="preserve"> </w:t>
            </w:r>
            <w:r w:rsidR="00C73025" w:rsidRPr="00295D4D">
              <w:rPr>
                <w:rFonts w:ascii="Verdana" w:hAnsi="Verdana" w:cs="Arial"/>
                <w:kern w:val="20"/>
                <w:sz w:val="18"/>
                <w:szCs w:val="18"/>
                <w:lang w:eastAsia="en-GB"/>
              </w:rPr>
              <w:t xml:space="preserve">nº </w:t>
            </w:r>
            <w:r w:rsidRPr="00295D4D">
              <w:rPr>
                <w:rFonts w:ascii="Verdana" w:hAnsi="Verdana" w:cs="Arial"/>
                <w:kern w:val="20"/>
                <w:sz w:val="18"/>
                <w:szCs w:val="18"/>
                <w:lang w:eastAsia="en-GB"/>
              </w:rPr>
              <w:t>939, 8º andar, Ed. Jatobá, Condomínio Castelo Branco Office Park, Tamboré</w:t>
            </w:r>
            <w:r w:rsidRPr="00295D4D" w:rsidDel="00754597">
              <w:rPr>
                <w:rFonts w:ascii="Verdana" w:hAnsi="Verdana" w:cs="Arial"/>
                <w:kern w:val="20"/>
                <w:sz w:val="18"/>
                <w:szCs w:val="18"/>
                <w:lang w:eastAsia="en-GB"/>
              </w:rPr>
              <w:t xml:space="preserve"> </w:t>
            </w:r>
            <w:bookmarkEnd w:id="0"/>
          </w:p>
          <w:p w14:paraId="7F344C0E" w14:textId="79220A21" w:rsidR="002B0752" w:rsidRPr="00295D4D" w:rsidRDefault="00881445" w:rsidP="00750320">
            <w:pPr>
              <w:tabs>
                <w:tab w:val="left" w:pos="817"/>
              </w:tabs>
              <w:spacing w:line="320" w:lineRule="exact"/>
              <w:jc w:val="center"/>
              <w:rPr>
                <w:rFonts w:ascii="Verdana" w:hAnsi="Verdana" w:cs="Arial"/>
                <w:kern w:val="20"/>
                <w:sz w:val="18"/>
                <w:szCs w:val="18"/>
                <w:lang w:eastAsia="en-GB"/>
              </w:rPr>
            </w:pPr>
            <w:r w:rsidRPr="00295D4D">
              <w:rPr>
                <w:rFonts w:ascii="Verdana" w:hAnsi="Verdana" w:cs="Arial"/>
                <w:kern w:val="20"/>
                <w:sz w:val="18"/>
                <w:szCs w:val="18"/>
                <w:lang w:eastAsia="en-GB"/>
              </w:rPr>
              <w:t xml:space="preserve">CEP </w:t>
            </w:r>
            <w:bookmarkStart w:id="1" w:name="_Hlk52896049"/>
            <w:r w:rsidR="00E743DE" w:rsidRPr="00295D4D">
              <w:rPr>
                <w:rFonts w:ascii="Verdana" w:hAnsi="Verdana" w:cs="Arial"/>
                <w:kern w:val="20"/>
                <w:sz w:val="18"/>
                <w:szCs w:val="18"/>
                <w:lang w:eastAsia="en-GB"/>
              </w:rPr>
              <w:t>06.460-040</w:t>
            </w:r>
            <w:bookmarkEnd w:id="1"/>
            <w:r w:rsidRPr="00295D4D">
              <w:rPr>
                <w:rFonts w:ascii="Verdana" w:hAnsi="Verdana" w:cs="Arial"/>
                <w:kern w:val="20"/>
                <w:sz w:val="18"/>
                <w:szCs w:val="18"/>
                <w:lang w:eastAsia="en-GB"/>
              </w:rPr>
              <w:t xml:space="preserve">, </w:t>
            </w:r>
            <w:r w:rsidR="00341F42" w:rsidRPr="00295D4D">
              <w:rPr>
                <w:rFonts w:ascii="Verdana" w:hAnsi="Verdana" w:cs="Arial"/>
                <w:kern w:val="20"/>
                <w:sz w:val="18"/>
                <w:szCs w:val="18"/>
                <w:lang w:eastAsia="en-GB"/>
              </w:rPr>
              <w:t>Barueri</w:t>
            </w:r>
            <w:r w:rsidRPr="00295D4D">
              <w:rPr>
                <w:rFonts w:ascii="Verdana" w:hAnsi="Verdana" w:cs="Arial"/>
                <w:kern w:val="20"/>
                <w:sz w:val="18"/>
                <w:szCs w:val="18"/>
                <w:lang w:eastAsia="en-GB"/>
              </w:rPr>
              <w:t xml:space="preserve">, </w:t>
            </w:r>
            <w:r w:rsidR="005A3DDE" w:rsidRPr="00295D4D">
              <w:rPr>
                <w:rFonts w:ascii="Verdana" w:hAnsi="Verdana" w:cs="Arial"/>
                <w:kern w:val="20"/>
                <w:sz w:val="18"/>
                <w:szCs w:val="18"/>
                <w:lang w:eastAsia="en-GB"/>
              </w:rPr>
              <w:t>São Paulo</w:t>
            </w:r>
          </w:p>
          <w:p w14:paraId="33C2A0F2" w14:textId="2D9514FB" w:rsidR="007E5AD8" w:rsidRPr="00295D4D" w:rsidRDefault="007E5AD8" w:rsidP="00750320">
            <w:pPr>
              <w:tabs>
                <w:tab w:val="left" w:pos="817"/>
              </w:tabs>
              <w:spacing w:line="320" w:lineRule="exact"/>
              <w:jc w:val="center"/>
              <w:rPr>
                <w:rFonts w:ascii="Verdana" w:hAnsi="Verdana" w:cs="Arial"/>
                <w:kern w:val="20"/>
                <w:sz w:val="18"/>
                <w:szCs w:val="18"/>
                <w:lang w:eastAsia="en-GB"/>
              </w:rPr>
            </w:pPr>
          </w:p>
        </w:tc>
        <w:tc>
          <w:tcPr>
            <w:tcW w:w="5168" w:type="dxa"/>
          </w:tcPr>
          <w:p w14:paraId="233F8D20" w14:textId="2D61B1FA" w:rsidR="00754597" w:rsidRPr="00282026" w:rsidRDefault="00754597" w:rsidP="00750320">
            <w:pPr>
              <w:tabs>
                <w:tab w:val="left" w:pos="817"/>
              </w:tabs>
              <w:spacing w:line="320" w:lineRule="exact"/>
              <w:jc w:val="center"/>
              <w:rPr>
                <w:rFonts w:ascii="Verdana" w:hAnsi="Verdana" w:cs="Arial"/>
                <w:kern w:val="20"/>
                <w:sz w:val="18"/>
                <w:szCs w:val="18"/>
                <w:lang w:eastAsia="en-GB"/>
              </w:rPr>
            </w:pPr>
            <w:r w:rsidRPr="00282026">
              <w:rPr>
                <w:rFonts w:ascii="Verdana" w:hAnsi="Verdana" w:cs="Arial"/>
                <w:kern w:val="20"/>
                <w:sz w:val="18"/>
                <w:szCs w:val="18"/>
                <w:lang w:eastAsia="en-GB"/>
              </w:rPr>
              <w:t>Av</w:t>
            </w:r>
            <w:r w:rsidR="00213874" w:rsidRPr="00282026">
              <w:rPr>
                <w:rFonts w:ascii="Verdana" w:hAnsi="Verdana" w:cs="Arial"/>
                <w:kern w:val="20"/>
                <w:sz w:val="18"/>
                <w:szCs w:val="18"/>
                <w:lang w:eastAsia="en-GB"/>
              </w:rPr>
              <w:t>.</w:t>
            </w:r>
            <w:r w:rsidRPr="00282026">
              <w:rPr>
                <w:rFonts w:ascii="Verdana" w:hAnsi="Verdana" w:cs="Arial"/>
                <w:kern w:val="20"/>
                <w:sz w:val="18"/>
                <w:szCs w:val="18"/>
                <w:lang w:eastAsia="en-GB"/>
              </w:rPr>
              <w:t xml:space="preserve"> Marcos Penteado de Ulhôa Rodrigues</w:t>
            </w:r>
            <w:r w:rsidR="006A49F4" w:rsidRPr="00282026">
              <w:rPr>
                <w:rFonts w:ascii="Verdana" w:hAnsi="Verdana" w:cs="Arial"/>
                <w:kern w:val="20"/>
                <w:sz w:val="18"/>
                <w:szCs w:val="18"/>
                <w:lang w:eastAsia="en-GB"/>
              </w:rPr>
              <w:t>,</w:t>
            </w:r>
            <w:r w:rsidRPr="00282026">
              <w:rPr>
                <w:rFonts w:ascii="Verdana" w:hAnsi="Verdana" w:cs="Arial"/>
                <w:kern w:val="20"/>
                <w:sz w:val="18"/>
                <w:szCs w:val="18"/>
                <w:lang w:eastAsia="en-GB"/>
              </w:rPr>
              <w:t xml:space="preserve"> </w:t>
            </w:r>
            <w:r w:rsidR="00C73025" w:rsidRPr="00282026">
              <w:rPr>
                <w:rFonts w:ascii="Verdana" w:hAnsi="Verdana" w:cs="Arial"/>
                <w:kern w:val="20"/>
                <w:sz w:val="18"/>
                <w:szCs w:val="18"/>
                <w:lang w:eastAsia="en-GB"/>
              </w:rPr>
              <w:t xml:space="preserve">No </w:t>
            </w:r>
            <w:r w:rsidRPr="00282026">
              <w:rPr>
                <w:rFonts w:ascii="Verdana" w:hAnsi="Verdana" w:cs="Arial"/>
                <w:kern w:val="20"/>
                <w:sz w:val="18"/>
                <w:szCs w:val="18"/>
                <w:lang w:eastAsia="en-GB"/>
              </w:rPr>
              <w:t>939, 8</w:t>
            </w:r>
            <w:r w:rsidR="005F2272" w:rsidRPr="00BE12AD">
              <w:rPr>
                <w:rFonts w:ascii="Verdana" w:hAnsi="Verdana" w:cs="Arial"/>
                <w:kern w:val="20"/>
                <w:sz w:val="18"/>
                <w:szCs w:val="18"/>
                <w:vertAlign w:val="superscript"/>
                <w:lang w:eastAsia="en-GB"/>
              </w:rPr>
              <w:t>th</w:t>
            </w:r>
            <w:r w:rsidRPr="00282026">
              <w:rPr>
                <w:rFonts w:ascii="Verdana" w:hAnsi="Verdana" w:cs="Arial"/>
                <w:kern w:val="20"/>
                <w:sz w:val="18"/>
                <w:szCs w:val="18"/>
                <w:lang w:eastAsia="en-GB"/>
              </w:rPr>
              <w:t xml:space="preserve"> </w:t>
            </w:r>
            <w:r w:rsidR="00213874" w:rsidRPr="00282026">
              <w:rPr>
                <w:rFonts w:ascii="Verdana" w:hAnsi="Verdana" w:cs="Arial"/>
                <w:kern w:val="20"/>
                <w:sz w:val="18"/>
                <w:szCs w:val="18"/>
                <w:lang w:eastAsia="en-GB"/>
              </w:rPr>
              <w:t>floor</w:t>
            </w:r>
            <w:r w:rsidRPr="00282026">
              <w:rPr>
                <w:rFonts w:ascii="Verdana" w:hAnsi="Verdana" w:cs="Arial"/>
                <w:kern w:val="20"/>
                <w:sz w:val="18"/>
                <w:szCs w:val="18"/>
                <w:lang w:eastAsia="en-GB"/>
              </w:rPr>
              <w:t>, Ed. Jatobá, Condomínio Castelo Branco Office Park, Tamboré</w:t>
            </w:r>
            <w:r w:rsidRPr="00282026" w:rsidDel="00754597">
              <w:rPr>
                <w:rFonts w:ascii="Verdana" w:hAnsi="Verdana" w:cs="Arial"/>
                <w:kern w:val="20"/>
                <w:sz w:val="18"/>
                <w:szCs w:val="18"/>
                <w:lang w:eastAsia="en-GB"/>
              </w:rPr>
              <w:t xml:space="preserve"> </w:t>
            </w:r>
          </w:p>
          <w:p w14:paraId="4399FDD4" w14:textId="1349EC88" w:rsidR="002B0752" w:rsidRPr="006A49F4" w:rsidRDefault="002B0752" w:rsidP="00750320">
            <w:pPr>
              <w:tabs>
                <w:tab w:val="left" w:pos="817"/>
              </w:tabs>
              <w:spacing w:line="320" w:lineRule="exact"/>
              <w:jc w:val="center"/>
              <w:rPr>
                <w:rFonts w:ascii="Verdana" w:hAnsi="Verdana" w:cs="Arial"/>
                <w:kern w:val="20"/>
                <w:sz w:val="18"/>
                <w:szCs w:val="18"/>
                <w:lang w:val="en-US" w:eastAsia="en-GB"/>
              </w:rPr>
            </w:pPr>
            <w:r w:rsidRPr="006A49F4">
              <w:rPr>
                <w:rFonts w:ascii="Verdana" w:hAnsi="Verdana" w:cs="Arial"/>
                <w:kern w:val="20"/>
                <w:sz w:val="18"/>
                <w:szCs w:val="18"/>
                <w:lang w:val="en-US" w:eastAsia="en-GB"/>
              </w:rPr>
              <w:t xml:space="preserve">Zip </w:t>
            </w:r>
            <w:r w:rsidR="00434B0D" w:rsidRPr="006A49F4">
              <w:rPr>
                <w:rFonts w:ascii="Verdana" w:hAnsi="Verdana" w:cs="Arial"/>
                <w:kern w:val="20"/>
                <w:sz w:val="18"/>
                <w:szCs w:val="18"/>
                <w:lang w:val="en-US" w:eastAsia="en-GB"/>
              </w:rPr>
              <w:t xml:space="preserve">Code </w:t>
            </w:r>
            <w:r w:rsidR="00E743DE" w:rsidRPr="006A49F4">
              <w:rPr>
                <w:rFonts w:ascii="Verdana" w:hAnsi="Verdana" w:cs="Arial"/>
                <w:kern w:val="20"/>
                <w:sz w:val="18"/>
                <w:szCs w:val="18"/>
                <w:lang w:val="en-US" w:eastAsia="en-GB"/>
              </w:rPr>
              <w:t>06.460-040</w:t>
            </w:r>
            <w:r w:rsidRPr="006A49F4">
              <w:rPr>
                <w:rFonts w:ascii="Verdana" w:hAnsi="Verdana" w:cs="Arial"/>
                <w:kern w:val="20"/>
                <w:sz w:val="18"/>
                <w:szCs w:val="18"/>
                <w:lang w:val="en-US" w:eastAsia="en-GB"/>
              </w:rPr>
              <w:t xml:space="preserve">, </w:t>
            </w:r>
            <w:r w:rsidR="00341F42" w:rsidRPr="006A49F4">
              <w:rPr>
                <w:rFonts w:ascii="Verdana" w:hAnsi="Verdana" w:cs="Arial"/>
                <w:kern w:val="20"/>
                <w:sz w:val="18"/>
                <w:szCs w:val="18"/>
                <w:lang w:val="en-US" w:eastAsia="en-GB"/>
              </w:rPr>
              <w:t>Barueri</w:t>
            </w:r>
            <w:r w:rsidR="00881445" w:rsidRPr="006A49F4">
              <w:rPr>
                <w:rFonts w:ascii="Verdana" w:hAnsi="Verdana" w:cs="Arial"/>
                <w:kern w:val="20"/>
                <w:sz w:val="18"/>
                <w:szCs w:val="18"/>
                <w:lang w:val="en-US" w:eastAsia="en-GB"/>
              </w:rPr>
              <w:t>, São Paulo</w:t>
            </w:r>
          </w:p>
          <w:p w14:paraId="793F124B" w14:textId="3D066792" w:rsidR="007E5AD8" w:rsidRPr="006A49F4" w:rsidRDefault="007E5AD8" w:rsidP="00750320">
            <w:pPr>
              <w:tabs>
                <w:tab w:val="left" w:pos="817"/>
              </w:tabs>
              <w:spacing w:line="320" w:lineRule="exact"/>
              <w:jc w:val="center"/>
              <w:rPr>
                <w:rFonts w:ascii="Verdana" w:hAnsi="Verdana" w:cs="Arial"/>
                <w:kern w:val="20"/>
                <w:sz w:val="18"/>
                <w:szCs w:val="18"/>
                <w:lang w:val="en-US"/>
              </w:rPr>
            </w:pPr>
          </w:p>
        </w:tc>
      </w:tr>
      <w:tr w:rsidR="007E5AD8" w:rsidRPr="0014194B" w14:paraId="5299AF15" w14:textId="77777777" w:rsidTr="00BE12AD">
        <w:trPr>
          <w:trHeight w:val="20"/>
          <w:jc w:val="center"/>
        </w:trPr>
        <w:tc>
          <w:tcPr>
            <w:tcW w:w="5382" w:type="dxa"/>
          </w:tcPr>
          <w:p w14:paraId="3A315653" w14:textId="1603DD66" w:rsidR="007E5AD8" w:rsidRPr="00295D4D" w:rsidRDefault="001B305F" w:rsidP="00750320">
            <w:pPr>
              <w:tabs>
                <w:tab w:val="left" w:pos="817"/>
              </w:tabs>
              <w:spacing w:line="320" w:lineRule="exact"/>
              <w:jc w:val="center"/>
              <w:rPr>
                <w:rFonts w:ascii="Verdana" w:hAnsi="Verdana" w:cs="Arial"/>
                <w:kern w:val="20"/>
                <w:sz w:val="18"/>
                <w:szCs w:val="18"/>
                <w:lang w:eastAsia="en-GB"/>
              </w:rPr>
            </w:pPr>
            <w:r w:rsidRPr="00295D4D">
              <w:rPr>
                <w:rFonts w:ascii="Verdana" w:hAnsi="Verdana" w:cs="Arial"/>
                <w:kern w:val="20"/>
                <w:sz w:val="18"/>
                <w:szCs w:val="18"/>
                <w:lang w:eastAsia="en-GB"/>
              </w:rPr>
              <w:t xml:space="preserve">CNPJ nº </w:t>
            </w:r>
            <w:r w:rsidR="00A526CF" w:rsidRPr="00295D4D">
              <w:rPr>
                <w:rFonts w:ascii="Verdana" w:hAnsi="Verdana" w:cs="Arial"/>
                <w:sz w:val="18"/>
                <w:szCs w:val="18"/>
              </w:rPr>
              <w:t>09.305.994/0001-29</w:t>
            </w:r>
          </w:p>
          <w:p w14:paraId="11C9806D" w14:textId="24714475" w:rsidR="007E5AD8" w:rsidRPr="00295D4D" w:rsidRDefault="007E5AD8" w:rsidP="00750320">
            <w:pPr>
              <w:tabs>
                <w:tab w:val="left" w:pos="817"/>
              </w:tabs>
              <w:spacing w:line="320" w:lineRule="exact"/>
              <w:jc w:val="center"/>
              <w:rPr>
                <w:rFonts w:ascii="Verdana" w:hAnsi="Verdana" w:cs="Arial"/>
                <w:kern w:val="20"/>
                <w:sz w:val="18"/>
                <w:szCs w:val="18"/>
                <w:lang w:eastAsia="en-GB"/>
              </w:rPr>
            </w:pPr>
          </w:p>
        </w:tc>
        <w:tc>
          <w:tcPr>
            <w:tcW w:w="5168" w:type="dxa"/>
          </w:tcPr>
          <w:p w14:paraId="7A509A01" w14:textId="2D514A2D" w:rsidR="007E5AD8" w:rsidRPr="006A49F4" w:rsidRDefault="001B305F" w:rsidP="00750320">
            <w:pPr>
              <w:tabs>
                <w:tab w:val="left" w:pos="817"/>
              </w:tabs>
              <w:spacing w:line="320" w:lineRule="exact"/>
              <w:jc w:val="center"/>
              <w:rPr>
                <w:rFonts w:ascii="Verdana" w:hAnsi="Verdana" w:cs="Arial"/>
                <w:kern w:val="20"/>
                <w:sz w:val="18"/>
                <w:szCs w:val="18"/>
                <w:lang w:val="en-US"/>
              </w:rPr>
            </w:pPr>
            <w:r w:rsidRPr="006A49F4">
              <w:rPr>
                <w:rFonts w:ascii="Verdana" w:hAnsi="Verdana" w:cs="Arial"/>
                <w:kern w:val="20"/>
                <w:sz w:val="18"/>
                <w:szCs w:val="18"/>
                <w:lang w:val="en-US"/>
              </w:rPr>
              <w:t xml:space="preserve">CNPJ </w:t>
            </w:r>
            <w:r w:rsidR="00881445" w:rsidRPr="006A49F4">
              <w:rPr>
                <w:rFonts w:ascii="Verdana" w:hAnsi="Verdana" w:cs="Arial"/>
                <w:kern w:val="20"/>
                <w:sz w:val="18"/>
                <w:szCs w:val="18"/>
                <w:lang w:val="en-US"/>
              </w:rPr>
              <w:t xml:space="preserve">No. </w:t>
            </w:r>
            <w:r w:rsidR="00A526CF" w:rsidRPr="006A49F4">
              <w:rPr>
                <w:rFonts w:ascii="Verdana" w:hAnsi="Verdana" w:cs="Arial"/>
                <w:sz w:val="18"/>
                <w:szCs w:val="18"/>
                <w:lang w:val="en-US"/>
              </w:rPr>
              <w:t>09.305.994/0001-29</w:t>
            </w:r>
          </w:p>
          <w:p w14:paraId="0131125A" w14:textId="153B712B" w:rsidR="007E5AD8" w:rsidRPr="006A49F4" w:rsidRDefault="007E5AD8" w:rsidP="00750320">
            <w:pPr>
              <w:tabs>
                <w:tab w:val="left" w:pos="817"/>
              </w:tabs>
              <w:spacing w:line="320" w:lineRule="exact"/>
              <w:jc w:val="center"/>
              <w:rPr>
                <w:rFonts w:ascii="Verdana" w:hAnsi="Verdana" w:cs="Arial"/>
                <w:kern w:val="20"/>
                <w:sz w:val="18"/>
                <w:szCs w:val="18"/>
                <w:lang w:val="en-US"/>
              </w:rPr>
            </w:pPr>
          </w:p>
        </w:tc>
      </w:tr>
      <w:tr w:rsidR="007E5AD8" w:rsidRPr="0014194B" w14:paraId="287DACD1" w14:textId="77777777" w:rsidTr="00BE12AD">
        <w:trPr>
          <w:trHeight w:val="20"/>
          <w:jc w:val="center"/>
        </w:trPr>
        <w:tc>
          <w:tcPr>
            <w:tcW w:w="5382" w:type="dxa"/>
          </w:tcPr>
          <w:p w14:paraId="6CDE8ECC" w14:textId="77777777" w:rsidR="007E5AD8" w:rsidRPr="00295D4D" w:rsidRDefault="007E5AD8" w:rsidP="00750320">
            <w:pPr>
              <w:tabs>
                <w:tab w:val="left" w:pos="817"/>
              </w:tabs>
              <w:spacing w:line="320" w:lineRule="exact"/>
              <w:jc w:val="center"/>
              <w:rPr>
                <w:rFonts w:ascii="Verdana" w:hAnsi="Verdana" w:cs="Arial"/>
                <w:kern w:val="20"/>
                <w:sz w:val="18"/>
                <w:szCs w:val="18"/>
                <w:lang w:eastAsia="en-GB"/>
              </w:rPr>
            </w:pPr>
          </w:p>
        </w:tc>
        <w:tc>
          <w:tcPr>
            <w:tcW w:w="5168" w:type="dxa"/>
          </w:tcPr>
          <w:p w14:paraId="31190911" w14:textId="77777777" w:rsidR="007E5AD8" w:rsidRPr="006A49F4" w:rsidRDefault="007E5AD8" w:rsidP="00750320">
            <w:pPr>
              <w:tabs>
                <w:tab w:val="left" w:pos="817"/>
              </w:tabs>
              <w:spacing w:line="320" w:lineRule="exact"/>
              <w:jc w:val="center"/>
              <w:rPr>
                <w:rFonts w:ascii="Verdana" w:hAnsi="Verdana" w:cs="Arial"/>
                <w:kern w:val="20"/>
                <w:sz w:val="18"/>
                <w:szCs w:val="18"/>
                <w:lang w:val="en-US"/>
              </w:rPr>
            </w:pPr>
          </w:p>
        </w:tc>
      </w:tr>
      <w:tr w:rsidR="002002D5" w:rsidRPr="00016DC5" w14:paraId="2F9FDE98" w14:textId="77777777" w:rsidTr="00BE12AD">
        <w:trPr>
          <w:trHeight w:val="20"/>
          <w:jc w:val="center"/>
        </w:trPr>
        <w:tc>
          <w:tcPr>
            <w:tcW w:w="5382" w:type="dxa"/>
          </w:tcPr>
          <w:p w14:paraId="0482BFBF" w14:textId="227C165A" w:rsidR="002002D5" w:rsidRPr="00295D4D" w:rsidRDefault="002002D5" w:rsidP="00750320">
            <w:pPr>
              <w:tabs>
                <w:tab w:val="left" w:pos="817"/>
              </w:tabs>
              <w:spacing w:line="320" w:lineRule="exact"/>
              <w:jc w:val="center"/>
              <w:rPr>
                <w:rFonts w:ascii="Verdana" w:hAnsi="Verdana" w:cs="Arial"/>
                <w:kern w:val="20"/>
                <w:sz w:val="18"/>
                <w:szCs w:val="18"/>
                <w:lang w:eastAsia="en-GB"/>
              </w:rPr>
            </w:pPr>
            <w:r w:rsidRPr="00295D4D">
              <w:rPr>
                <w:rFonts w:ascii="Verdana" w:hAnsi="Verdana" w:cs="Arial"/>
                <w:kern w:val="20"/>
                <w:sz w:val="18"/>
                <w:szCs w:val="18"/>
                <w:lang w:eastAsia="en-GB"/>
              </w:rPr>
              <w:t xml:space="preserve">Código ISIN </w:t>
            </w:r>
            <w:r w:rsidR="002309DC">
              <w:rPr>
                <w:rFonts w:ascii="Verdana" w:hAnsi="Verdana" w:cs="Arial"/>
                <w:kern w:val="20"/>
                <w:sz w:val="18"/>
                <w:szCs w:val="18"/>
                <w:lang w:eastAsia="en-GB"/>
              </w:rPr>
              <w:t xml:space="preserve">dos Lotes de </w:t>
            </w:r>
            <w:r w:rsidRPr="00295D4D">
              <w:rPr>
                <w:rFonts w:ascii="Verdana" w:hAnsi="Verdana" w:cs="Arial"/>
                <w:kern w:val="20"/>
                <w:sz w:val="18"/>
                <w:szCs w:val="18"/>
                <w:lang w:eastAsia="en-GB"/>
              </w:rPr>
              <w:t>Ações Ordinárias: “</w:t>
            </w:r>
            <w:r w:rsidR="000C04E4" w:rsidRPr="0050183C">
              <w:rPr>
                <w:rFonts w:ascii="Verdana" w:hAnsi="Verdana" w:cs="Arial"/>
                <w:b/>
                <w:bCs/>
                <w:kern w:val="20"/>
                <w:sz w:val="18"/>
                <w:szCs w:val="18"/>
              </w:rPr>
              <w:t>BRAZULA01OR8</w:t>
            </w:r>
            <w:r w:rsidRPr="00295D4D">
              <w:rPr>
                <w:rFonts w:ascii="Verdana" w:hAnsi="Verdana" w:cs="Arial"/>
                <w:kern w:val="20"/>
                <w:sz w:val="18"/>
                <w:szCs w:val="18"/>
                <w:lang w:eastAsia="en-GB"/>
              </w:rPr>
              <w:t>”</w:t>
            </w:r>
          </w:p>
        </w:tc>
        <w:tc>
          <w:tcPr>
            <w:tcW w:w="5168" w:type="dxa"/>
          </w:tcPr>
          <w:p w14:paraId="2702C081" w14:textId="38253132" w:rsidR="002002D5" w:rsidRPr="006A49F4" w:rsidRDefault="00C04071" w:rsidP="00750320">
            <w:pPr>
              <w:tabs>
                <w:tab w:val="left" w:pos="817"/>
              </w:tabs>
              <w:spacing w:line="320" w:lineRule="exact"/>
              <w:jc w:val="center"/>
              <w:rPr>
                <w:rFonts w:ascii="Verdana" w:hAnsi="Verdana" w:cs="Arial"/>
                <w:kern w:val="20"/>
                <w:sz w:val="18"/>
                <w:szCs w:val="18"/>
                <w:lang w:val="en-US"/>
              </w:rPr>
            </w:pPr>
            <w:r w:rsidRPr="006A49F4">
              <w:rPr>
                <w:rFonts w:ascii="Verdana" w:hAnsi="Verdana" w:cs="Arial"/>
                <w:kern w:val="20"/>
                <w:sz w:val="18"/>
                <w:szCs w:val="18"/>
                <w:lang w:val="en-US"/>
              </w:rPr>
              <w:t xml:space="preserve">Lots of Common Shares </w:t>
            </w:r>
            <w:r w:rsidR="002002D5" w:rsidRPr="006A49F4">
              <w:rPr>
                <w:rFonts w:ascii="Verdana" w:hAnsi="Verdana" w:cs="Arial"/>
                <w:kern w:val="20"/>
                <w:sz w:val="18"/>
                <w:szCs w:val="18"/>
                <w:lang w:val="en-US"/>
              </w:rPr>
              <w:t>ISIN Code: “</w:t>
            </w:r>
            <w:r w:rsidR="000C04E4" w:rsidRPr="000C04E4">
              <w:rPr>
                <w:rFonts w:ascii="Verdana" w:hAnsi="Verdana" w:cs="Arial"/>
                <w:b/>
                <w:bCs/>
                <w:kern w:val="20"/>
                <w:sz w:val="18"/>
                <w:szCs w:val="18"/>
                <w:lang w:val="en-US"/>
              </w:rPr>
              <w:t>BRAZULA01OR8</w:t>
            </w:r>
            <w:r w:rsidR="002002D5" w:rsidRPr="006A49F4">
              <w:rPr>
                <w:rFonts w:ascii="Verdana" w:hAnsi="Verdana" w:cs="Arial"/>
                <w:kern w:val="20"/>
                <w:sz w:val="18"/>
                <w:szCs w:val="18"/>
                <w:lang w:val="en-US" w:eastAsia="en-GB"/>
              </w:rPr>
              <w:t>”</w:t>
            </w:r>
          </w:p>
        </w:tc>
      </w:tr>
      <w:tr w:rsidR="002002D5" w:rsidRPr="00016DC5" w14:paraId="4FF03A5F" w14:textId="77777777" w:rsidTr="00BE12AD">
        <w:trPr>
          <w:trHeight w:val="20"/>
          <w:jc w:val="center"/>
        </w:trPr>
        <w:tc>
          <w:tcPr>
            <w:tcW w:w="5382" w:type="dxa"/>
          </w:tcPr>
          <w:p w14:paraId="72ECDFB1" w14:textId="33E43CB4" w:rsidR="002002D5" w:rsidRPr="00295D4D" w:rsidRDefault="002002D5" w:rsidP="00F23D81">
            <w:pPr>
              <w:tabs>
                <w:tab w:val="left" w:pos="817"/>
              </w:tabs>
              <w:spacing w:line="320" w:lineRule="exact"/>
              <w:jc w:val="center"/>
              <w:rPr>
                <w:rFonts w:ascii="Verdana" w:hAnsi="Verdana" w:cs="Arial"/>
                <w:kern w:val="20"/>
                <w:sz w:val="18"/>
                <w:szCs w:val="18"/>
                <w:lang w:eastAsia="en-GB"/>
              </w:rPr>
            </w:pPr>
            <w:r w:rsidRPr="00295D4D">
              <w:rPr>
                <w:rFonts w:ascii="Verdana" w:hAnsi="Verdana" w:cs="Arial"/>
                <w:kern w:val="20"/>
                <w:sz w:val="18"/>
                <w:szCs w:val="18"/>
                <w:lang w:eastAsia="en-GB"/>
              </w:rPr>
              <w:t xml:space="preserve">Código de Negociação </w:t>
            </w:r>
            <w:r w:rsidR="002309DC">
              <w:rPr>
                <w:rFonts w:ascii="Verdana" w:hAnsi="Verdana" w:cs="Arial"/>
                <w:kern w:val="20"/>
                <w:sz w:val="18"/>
                <w:szCs w:val="18"/>
                <w:lang w:eastAsia="en-GB"/>
              </w:rPr>
              <w:t xml:space="preserve">dos Lotes de </w:t>
            </w:r>
            <w:r w:rsidRPr="00295D4D">
              <w:rPr>
                <w:rFonts w:ascii="Verdana" w:hAnsi="Verdana" w:cs="Arial"/>
                <w:kern w:val="20"/>
                <w:sz w:val="18"/>
                <w:szCs w:val="18"/>
                <w:lang w:eastAsia="en-GB"/>
              </w:rPr>
              <w:t>Ações Ordinárias na B3: “</w:t>
            </w:r>
            <w:r w:rsidR="00DA7D30" w:rsidRPr="002309DC">
              <w:rPr>
                <w:rFonts w:ascii="Verdana" w:hAnsi="Verdana" w:cs="Arial"/>
                <w:b/>
                <w:bCs/>
                <w:kern w:val="20"/>
                <w:sz w:val="18"/>
                <w:szCs w:val="18"/>
              </w:rPr>
              <w:t>AZUL53</w:t>
            </w:r>
            <w:r w:rsidRPr="00295D4D">
              <w:rPr>
                <w:rFonts w:ascii="Verdana" w:hAnsi="Verdana" w:cs="Arial"/>
                <w:kern w:val="20"/>
                <w:sz w:val="18"/>
                <w:szCs w:val="18"/>
                <w:lang w:eastAsia="en-GB"/>
              </w:rPr>
              <w:t>”</w:t>
            </w:r>
          </w:p>
        </w:tc>
        <w:tc>
          <w:tcPr>
            <w:tcW w:w="5168" w:type="dxa"/>
          </w:tcPr>
          <w:p w14:paraId="044E6E75" w14:textId="607687FA" w:rsidR="002002D5" w:rsidRPr="006A49F4" w:rsidRDefault="00C04071" w:rsidP="00750320">
            <w:pPr>
              <w:tabs>
                <w:tab w:val="left" w:pos="817"/>
              </w:tabs>
              <w:spacing w:line="320" w:lineRule="exact"/>
              <w:jc w:val="center"/>
              <w:rPr>
                <w:rFonts w:ascii="Verdana" w:hAnsi="Verdana" w:cs="Arial"/>
                <w:kern w:val="20"/>
                <w:sz w:val="18"/>
                <w:szCs w:val="18"/>
                <w:lang w:val="en-US"/>
              </w:rPr>
            </w:pPr>
            <w:r w:rsidRPr="006A49F4">
              <w:rPr>
                <w:rFonts w:ascii="Verdana" w:hAnsi="Verdana" w:cs="Arial"/>
                <w:kern w:val="20"/>
                <w:sz w:val="18"/>
                <w:szCs w:val="18"/>
                <w:lang w:val="en-US"/>
              </w:rPr>
              <w:t xml:space="preserve">Lots of </w:t>
            </w:r>
            <w:r w:rsidR="00032CB6" w:rsidRPr="006A49F4">
              <w:rPr>
                <w:rFonts w:ascii="Verdana" w:hAnsi="Verdana" w:cs="Arial"/>
                <w:kern w:val="20"/>
                <w:sz w:val="18"/>
                <w:szCs w:val="18"/>
                <w:lang w:val="en-US"/>
              </w:rPr>
              <w:t>Common</w:t>
            </w:r>
            <w:r w:rsidR="002002D5" w:rsidRPr="006A49F4">
              <w:rPr>
                <w:rFonts w:ascii="Verdana" w:hAnsi="Verdana" w:cs="Arial"/>
                <w:kern w:val="20"/>
                <w:sz w:val="18"/>
                <w:szCs w:val="18"/>
                <w:lang w:val="en-US"/>
              </w:rPr>
              <w:t xml:space="preserve"> </w:t>
            </w:r>
            <w:r w:rsidR="0090752A" w:rsidRPr="006A49F4">
              <w:rPr>
                <w:rFonts w:ascii="Verdana" w:hAnsi="Verdana" w:cs="Arial"/>
                <w:kern w:val="20"/>
                <w:sz w:val="18"/>
                <w:szCs w:val="18"/>
                <w:lang w:val="en-US"/>
              </w:rPr>
              <w:t>Shares</w:t>
            </w:r>
            <w:r w:rsidR="002002D5" w:rsidRPr="006A49F4">
              <w:rPr>
                <w:rFonts w:ascii="Verdana" w:hAnsi="Verdana" w:cs="Arial"/>
                <w:kern w:val="20"/>
                <w:sz w:val="18"/>
                <w:szCs w:val="18"/>
                <w:lang w:val="en-US"/>
              </w:rPr>
              <w:t xml:space="preserve"> Ticker Symbol at B3: “</w:t>
            </w:r>
            <w:r w:rsidR="00DA7D30" w:rsidRPr="006A49F4">
              <w:rPr>
                <w:rFonts w:ascii="Verdana" w:hAnsi="Verdana" w:cs="Arial"/>
                <w:b/>
                <w:bCs/>
                <w:kern w:val="20"/>
                <w:sz w:val="18"/>
                <w:szCs w:val="18"/>
                <w:lang w:val="en-US"/>
              </w:rPr>
              <w:t>AZUL53</w:t>
            </w:r>
            <w:r w:rsidR="002002D5" w:rsidRPr="006A49F4">
              <w:rPr>
                <w:rFonts w:ascii="Verdana" w:hAnsi="Verdana" w:cs="Arial"/>
                <w:kern w:val="20"/>
                <w:sz w:val="18"/>
                <w:szCs w:val="18"/>
                <w:lang w:val="en-US" w:eastAsia="en-GB"/>
              </w:rPr>
              <w:t>”</w:t>
            </w:r>
          </w:p>
        </w:tc>
      </w:tr>
      <w:tr w:rsidR="002002D5" w:rsidRPr="00016DC5" w14:paraId="353D4C3D" w14:textId="77777777" w:rsidTr="00BE12AD">
        <w:trPr>
          <w:trHeight w:val="20"/>
          <w:jc w:val="center"/>
        </w:trPr>
        <w:tc>
          <w:tcPr>
            <w:tcW w:w="5382" w:type="dxa"/>
          </w:tcPr>
          <w:p w14:paraId="6FFBB8C0" w14:textId="77777777" w:rsidR="002002D5" w:rsidRPr="00295D4D" w:rsidRDefault="002002D5" w:rsidP="00750320">
            <w:pPr>
              <w:pStyle w:val="Ttulo2"/>
              <w:tabs>
                <w:tab w:val="left" w:pos="817"/>
              </w:tabs>
              <w:spacing w:line="320" w:lineRule="exact"/>
              <w:jc w:val="right"/>
              <w:rPr>
                <w:rFonts w:ascii="Verdana" w:hAnsi="Verdana" w:cs="Arial"/>
                <w:sz w:val="18"/>
                <w:szCs w:val="18"/>
                <w:lang w:val="en-US"/>
              </w:rPr>
            </w:pPr>
          </w:p>
        </w:tc>
        <w:tc>
          <w:tcPr>
            <w:tcW w:w="5168" w:type="dxa"/>
          </w:tcPr>
          <w:p w14:paraId="26EB8AEC" w14:textId="77777777" w:rsidR="002002D5" w:rsidRPr="00295D4D" w:rsidRDefault="002002D5" w:rsidP="00750320">
            <w:pPr>
              <w:pStyle w:val="Ttulo2"/>
              <w:tabs>
                <w:tab w:val="left" w:pos="817"/>
              </w:tabs>
              <w:spacing w:line="320" w:lineRule="exact"/>
              <w:jc w:val="right"/>
              <w:rPr>
                <w:rFonts w:ascii="Verdana" w:hAnsi="Verdana" w:cs="Arial"/>
                <w:bCs/>
                <w:sz w:val="18"/>
                <w:szCs w:val="18"/>
                <w:lang w:val="en-US"/>
              </w:rPr>
            </w:pPr>
          </w:p>
        </w:tc>
      </w:tr>
      <w:tr w:rsidR="007E5AD8" w:rsidRPr="0014194B" w14:paraId="41E28566" w14:textId="77777777" w:rsidTr="00BE12AD">
        <w:trPr>
          <w:trHeight w:val="20"/>
          <w:jc w:val="center"/>
        </w:trPr>
        <w:tc>
          <w:tcPr>
            <w:tcW w:w="5382" w:type="dxa"/>
          </w:tcPr>
          <w:p w14:paraId="1FC340A0" w14:textId="77777777" w:rsidR="007E5AD8" w:rsidRPr="00295D4D" w:rsidRDefault="001B305F" w:rsidP="00750320">
            <w:pPr>
              <w:pStyle w:val="Ttulo2"/>
              <w:tabs>
                <w:tab w:val="left" w:pos="817"/>
              </w:tabs>
              <w:spacing w:line="320" w:lineRule="exact"/>
              <w:jc w:val="right"/>
              <w:rPr>
                <w:rFonts w:ascii="Verdana" w:hAnsi="Verdana" w:cs="Arial"/>
                <w:i/>
                <w:sz w:val="18"/>
                <w:szCs w:val="18"/>
              </w:rPr>
            </w:pPr>
            <w:r w:rsidRPr="00295D4D">
              <w:rPr>
                <w:rFonts w:ascii="Verdana" w:hAnsi="Verdana" w:cs="Arial"/>
                <w:sz w:val="18"/>
                <w:szCs w:val="18"/>
              </w:rPr>
              <w:t xml:space="preserve">Nº </w:t>
            </w:r>
            <w:r w:rsidRPr="00295D4D">
              <w:rPr>
                <w:rFonts w:ascii="Verdana" w:hAnsi="Verdana" w:cs="Arial"/>
                <w:sz w:val="18"/>
                <w:szCs w:val="18"/>
              </w:rPr>
              <w:tab/>
            </w:r>
          </w:p>
        </w:tc>
        <w:tc>
          <w:tcPr>
            <w:tcW w:w="5168" w:type="dxa"/>
          </w:tcPr>
          <w:p w14:paraId="2092FC37" w14:textId="77777777" w:rsidR="007E5AD8" w:rsidRPr="00295D4D" w:rsidRDefault="001B305F" w:rsidP="00750320">
            <w:pPr>
              <w:pStyle w:val="Ttulo2"/>
              <w:tabs>
                <w:tab w:val="left" w:pos="817"/>
              </w:tabs>
              <w:spacing w:line="320" w:lineRule="exact"/>
              <w:jc w:val="right"/>
              <w:rPr>
                <w:rFonts w:ascii="Verdana" w:hAnsi="Verdana" w:cs="Arial"/>
                <w:i/>
                <w:sz w:val="18"/>
                <w:szCs w:val="18"/>
                <w:lang w:val="en-US"/>
              </w:rPr>
            </w:pPr>
            <w:r w:rsidRPr="00295D4D">
              <w:rPr>
                <w:rFonts w:ascii="Verdana" w:hAnsi="Verdana" w:cs="Arial"/>
                <w:bCs/>
                <w:sz w:val="18"/>
                <w:szCs w:val="18"/>
                <w:lang w:val="en-US"/>
              </w:rPr>
              <w:t>No.</w:t>
            </w:r>
            <w:r w:rsidRPr="00295D4D">
              <w:rPr>
                <w:rFonts w:ascii="Verdana" w:hAnsi="Verdana" w:cs="Arial"/>
                <w:bCs/>
                <w:sz w:val="18"/>
                <w:szCs w:val="18"/>
                <w:lang w:val="en-US"/>
              </w:rPr>
              <w:tab/>
              <w:t xml:space="preserve"> </w:t>
            </w:r>
          </w:p>
        </w:tc>
      </w:tr>
      <w:tr w:rsidR="007E5AD8" w:rsidRPr="0014194B" w14:paraId="52A54C61" w14:textId="77777777" w:rsidTr="00BE12AD">
        <w:trPr>
          <w:trHeight w:val="20"/>
          <w:jc w:val="center"/>
        </w:trPr>
        <w:tc>
          <w:tcPr>
            <w:tcW w:w="5382" w:type="dxa"/>
          </w:tcPr>
          <w:p w14:paraId="2A247578" w14:textId="77777777" w:rsidR="007E5AD8" w:rsidRPr="00295D4D" w:rsidRDefault="007E5AD8" w:rsidP="00750320">
            <w:pPr>
              <w:tabs>
                <w:tab w:val="left" w:pos="817"/>
              </w:tabs>
              <w:spacing w:line="320" w:lineRule="exact"/>
              <w:jc w:val="center"/>
              <w:rPr>
                <w:rFonts w:ascii="Verdana" w:hAnsi="Verdana" w:cs="Arial"/>
                <w:b/>
                <w:sz w:val="18"/>
                <w:szCs w:val="18"/>
              </w:rPr>
            </w:pPr>
          </w:p>
        </w:tc>
        <w:tc>
          <w:tcPr>
            <w:tcW w:w="5168" w:type="dxa"/>
          </w:tcPr>
          <w:p w14:paraId="53BB4726" w14:textId="77777777" w:rsidR="007E5AD8" w:rsidRPr="00295D4D" w:rsidRDefault="007E5AD8" w:rsidP="00750320">
            <w:pPr>
              <w:tabs>
                <w:tab w:val="left" w:pos="817"/>
              </w:tabs>
              <w:spacing w:line="320" w:lineRule="exact"/>
              <w:jc w:val="center"/>
              <w:rPr>
                <w:rFonts w:ascii="Verdana" w:hAnsi="Verdana" w:cs="Arial"/>
                <w:b/>
                <w:sz w:val="18"/>
                <w:szCs w:val="18"/>
                <w:lang w:val="en-US"/>
              </w:rPr>
            </w:pPr>
          </w:p>
        </w:tc>
      </w:tr>
      <w:tr w:rsidR="007E5AD8" w:rsidRPr="00016DC5" w14:paraId="0140E90C" w14:textId="77777777" w:rsidTr="00BE12AD">
        <w:trPr>
          <w:trHeight w:val="20"/>
          <w:jc w:val="center"/>
        </w:trPr>
        <w:tc>
          <w:tcPr>
            <w:tcW w:w="5382" w:type="dxa"/>
          </w:tcPr>
          <w:p w14:paraId="2A6FFB55" w14:textId="764822EF" w:rsidR="006A49F4" w:rsidRPr="00504F5E" w:rsidRDefault="001B305F" w:rsidP="00504F5E">
            <w:pPr>
              <w:pStyle w:val="Corpodetexto"/>
              <w:tabs>
                <w:tab w:val="left" w:pos="0"/>
                <w:tab w:val="left" w:pos="817"/>
              </w:tabs>
              <w:spacing w:line="320" w:lineRule="exact"/>
              <w:jc w:val="both"/>
              <w:rPr>
                <w:rFonts w:ascii="Verdana" w:hAnsi="Verdana" w:cs="Arial"/>
                <w:b/>
              </w:rPr>
            </w:pPr>
            <w:r w:rsidRPr="00295D4D">
              <w:rPr>
                <w:rFonts w:ascii="Verdana" w:hAnsi="Verdana" w:cs="Arial"/>
                <w:bCs/>
              </w:rPr>
              <w:t>Pedido de Subscrição da Oferta Prioritária para Acionistas (</w:t>
            </w:r>
            <w:r w:rsidR="00750320" w:rsidRPr="00295D4D">
              <w:rPr>
                <w:rFonts w:ascii="Verdana" w:hAnsi="Verdana" w:cs="Arial"/>
                <w:bCs/>
              </w:rPr>
              <w:t>“</w:t>
            </w:r>
            <w:r w:rsidRPr="00295D4D">
              <w:rPr>
                <w:rFonts w:ascii="Verdana" w:hAnsi="Verdana" w:cs="Arial"/>
                <w:b/>
                <w:bCs/>
              </w:rPr>
              <w:t>Pedido de Subscrição Prioritária</w:t>
            </w:r>
            <w:r w:rsidR="00750320" w:rsidRPr="00295D4D">
              <w:rPr>
                <w:rFonts w:ascii="Verdana" w:hAnsi="Verdana" w:cs="Arial"/>
                <w:bCs/>
              </w:rPr>
              <w:t>”</w:t>
            </w:r>
            <w:r w:rsidRPr="00295D4D">
              <w:rPr>
                <w:rFonts w:ascii="Verdana" w:hAnsi="Verdana" w:cs="Arial"/>
                <w:bCs/>
              </w:rPr>
              <w:t>) relativo à oferta pública de distribuição primária</w:t>
            </w:r>
            <w:r w:rsidR="00B63356" w:rsidRPr="00295D4D">
              <w:rPr>
                <w:rFonts w:ascii="Verdana" w:hAnsi="Verdana" w:cs="Arial"/>
                <w:bCs/>
              </w:rPr>
              <w:t xml:space="preserve"> de</w:t>
            </w:r>
            <w:r w:rsidR="002B0752" w:rsidRPr="00295D4D">
              <w:rPr>
                <w:rFonts w:ascii="Verdana" w:hAnsi="Verdana" w:cs="Arial"/>
                <w:bCs/>
              </w:rPr>
              <w:t xml:space="preserve"> </w:t>
            </w:r>
            <w:r w:rsidR="00D93330" w:rsidRPr="00295D4D">
              <w:rPr>
                <w:rFonts w:ascii="Verdana" w:hAnsi="Verdana" w:cs="Arial"/>
                <w:bCs/>
              </w:rPr>
              <w:t>ações ordinárias</w:t>
            </w:r>
            <w:r w:rsidR="00016DC5">
              <w:rPr>
                <w:rFonts w:ascii="Verdana" w:hAnsi="Verdana" w:cs="Arial"/>
                <w:bCs/>
              </w:rPr>
              <w:t>, observada a possibilidade de distribuição parcial,</w:t>
            </w:r>
            <w:r w:rsidR="00D93330" w:rsidRPr="00295D4D">
              <w:rPr>
                <w:rFonts w:ascii="Verdana" w:hAnsi="Verdana" w:cs="Arial"/>
                <w:bCs/>
              </w:rPr>
              <w:t xml:space="preserve"> </w:t>
            </w:r>
            <w:r w:rsidR="004A047C" w:rsidRPr="00295D4D">
              <w:rPr>
                <w:rFonts w:ascii="Verdana" w:hAnsi="Verdana" w:cs="Arial"/>
                <w:bCs/>
              </w:rPr>
              <w:t>a ser</w:t>
            </w:r>
            <w:r w:rsidR="005F2272">
              <w:rPr>
                <w:rFonts w:ascii="Verdana" w:hAnsi="Verdana" w:cs="Arial"/>
                <w:bCs/>
              </w:rPr>
              <w:t>em</w:t>
            </w:r>
            <w:r w:rsidR="004A047C" w:rsidRPr="00295D4D">
              <w:rPr>
                <w:rFonts w:ascii="Verdana" w:hAnsi="Verdana" w:cs="Arial"/>
                <w:bCs/>
              </w:rPr>
              <w:t xml:space="preserve"> emitida</w:t>
            </w:r>
            <w:r w:rsidR="005F2272">
              <w:rPr>
                <w:rFonts w:ascii="Verdana" w:hAnsi="Verdana" w:cs="Arial"/>
                <w:bCs/>
              </w:rPr>
              <w:t>s</w:t>
            </w:r>
            <w:r w:rsidR="004A047C" w:rsidRPr="00295D4D">
              <w:rPr>
                <w:rFonts w:ascii="Verdana" w:hAnsi="Verdana" w:cs="Arial"/>
                <w:bCs/>
              </w:rPr>
              <w:t xml:space="preserve"> pela</w:t>
            </w:r>
            <w:r w:rsidR="00206AB3" w:rsidRPr="00295D4D">
              <w:rPr>
                <w:rFonts w:ascii="Verdana" w:hAnsi="Verdana" w:cs="Arial"/>
                <w:bCs/>
              </w:rPr>
              <w:t xml:space="preserve"> Azul S.A. (“</w:t>
            </w:r>
            <w:r w:rsidR="00206AB3" w:rsidRPr="00295D4D">
              <w:rPr>
                <w:rFonts w:ascii="Verdana" w:hAnsi="Verdana" w:cs="Arial"/>
                <w:b/>
              </w:rPr>
              <w:t>Companhia</w:t>
            </w:r>
            <w:r w:rsidR="00206AB3" w:rsidRPr="00295D4D">
              <w:rPr>
                <w:rFonts w:ascii="Verdana" w:hAnsi="Verdana" w:cs="Arial"/>
                <w:bCs/>
              </w:rPr>
              <w:t>”)</w:t>
            </w:r>
            <w:r w:rsidRPr="00295D4D">
              <w:rPr>
                <w:rFonts w:ascii="Verdana" w:hAnsi="Verdana" w:cs="Arial"/>
                <w:bCs/>
              </w:rPr>
              <w:t xml:space="preserve">, </w:t>
            </w:r>
            <w:r w:rsidR="00206AB3" w:rsidRPr="00295D4D">
              <w:rPr>
                <w:rFonts w:ascii="Verdana" w:hAnsi="Verdana" w:cs="Arial"/>
                <w:bCs/>
              </w:rPr>
              <w:t xml:space="preserve">todas </w:t>
            </w:r>
            <w:r w:rsidRPr="00295D4D">
              <w:rPr>
                <w:rFonts w:ascii="Verdana" w:hAnsi="Verdana" w:cs="Arial"/>
                <w:bCs/>
              </w:rPr>
              <w:t>nominativas, escriturais</w:t>
            </w:r>
            <w:r w:rsidR="00206AB3" w:rsidRPr="00295D4D">
              <w:rPr>
                <w:rFonts w:ascii="Verdana" w:hAnsi="Verdana" w:cs="Arial"/>
                <w:bCs/>
              </w:rPr>
              <w:t>,</w:t>
            </w:r>
            <w:r w:rsidRPr="00295D4D">
              <w:rPr>
                <w:rFonts w:ascii="Verdana" w:hAnsi="Verdana" w:cs="Arial"/>
                <w:bCs/>
              </w:rPr>
              <w:t xml:space="preserve"> sem valor nominal</w:t>
            </w:r>
            <w:r w:rsidR="002B0752" w:rsidRPr="00295D4D">
              <w:rPr>
                <w:rFonts w:ascii="Verdana" w:hAnsi="Verdana" w:cs="Arial"/>
                <w:bCs/>
              </w:rPr>
              <w:t xml:space="preserve">, </w:t>
            </w:r>
            <w:r w:rsidRPr="00295D4D">
              <w:rPr>
                <w:rFonts w:ascii="Verdana" w:hAnsi="Verdana" w:cs="Arial"/>
                <w:bCs/>
              </w:rPr>
              <w:t>livres e desembaraçadas de quaisquer ônus ou gravames</w:t>
            </w:r>
            <w:r w:rsidR="000A1549">
              <w:rPr>
                <w:rFonts w:ascii="Verdana" w:hAnsi="Verdana" w:cs="Arial"/>
                <w:bCs/>
              </w:rPr>
              <w:t xml:space="preserve"> (“</w:t>
            </w:r>
            <w:r w:rsidR="000A1549" w:rsidRPr="000A1549">
              <w:rPr>
                <w:rFonts w:ascii="Verdana" w:hAnsi="Verdana" w:cs="Arial"/>
                <w:b/>
              </w:rPr>
              <w:t>Ações</w:t>
            </w:r>
            <w:r w:rsidR="000A1549">
              <w:rPr>
                <w:rFonts w:ascii="Verdana" w:hAnsi="Verdana" w:cs="Arial"/>
                <w:bCs/>
              </w:rPr>
              <w:t>”)</w:t>
            </w:r>
            <w:r w:rsidR="002B0752" w:rsidRPr="00295D4D">
              <w:rPr>
                <w:rFonts w:ascii="Verdana" w:hAnsi="Verdana" w:cs="Arial"/>
                <w:bCs/>
              </w:rPr>
              <w:t>, a ser realizada sob o rito de registro automático de distribuição, nos termos do artigo 26</w:t>
            </w:r>
            <w:r w:rsidR="00C73025" w:rsidRPr="00295D4D">
              <w:rPr>
                <w:rFonts w:ascii="Verdana" w:hAnsi="Verdana" w:cs="Arial"/>
                <w:bCs/>
              </w:rPr>
              <w:t>, inciso II, alínea “</w:t>
            </w:r>
            <w:r w:rsidR="00D93330" w:rsidRPr="00295D4D">
              <w:rPr>
                <w:rFonts w:ascii="Verdana" w:hAnsi="Verdana" w:cs="Arial"/>
                <w:bCs/>
              </w:rPr>
              <w:t>(</w:t>
            </w:r>
            <w:r w:rsidR="00C73025" w:rsidRPr="00295D4D">
              <w:rPr>
                <w:rFonts w:ascii="Verdana" w:hAnsi="Verdana" w:cs="Arial"/>
                <w:bCs/>
              </w:rPr>
              <w:t>a</w:t>
            </w:r>
            <w:r w:rsidR="00D93330" w:rsidRPr="00295D4D">
              <w:rPr>
                <w:rFonts w:ascii="Verdana" w:hAnsi="Verdana" w:cs="Arial"/>
                <w:bCs/>
              </w:rPr>
              <w:t>)</w:t>
            </w:r>
            <w:r w:rsidR="00C73025" w:rsidRPr="00295D4D">
              <w:rPr>
                <w:rFonts w:ascii="Verdana" w:hAnsi="Verdana" w:cs="Arial"/>
                <w:bCs/>
              </w:rPr>
              <w:t>”</w:t>
            </w:r>
            <w:r w:rsidR="00C22797">
              <w:rPr>
                <w:rFonts w:ascii="Verdana" w:hAnsi="Verdana" w:cs="Arial"/>
                <w:bCs/>
              </w:rPr>
              <w:t>,</w:t>
            </w:r>
            <w:r w:rsidR="002B0752" w:rsidRPr="00295D4D">
              <w:rPr>
                <w:rFonts w:ascii="Verdana" w:hAnsi="Verdana" w:cs="Arial"/>
                <w:bCs/>
              </w:rPr>
              <w:t xml:space="preserve"> da Resolução da Comissão de Valores Mobiliários (</w:t>
            </w:r>
            <w:r w:rsidR="00750320" w:rsidRPr="00295D4D">
              <w:rPr>
                <w:rFonts w:ascii="Verdana" w:hAnsi="Verdana" w:cs="Arial"/>
                <w:bCs/>
              </w:rPr>
              <w:t>“</w:t>
            </w:r>
            <w:r w:rsidR="002B0752" w:rsidRPr="00295D4D">
              <w:rPr>
                <w:rFonts w:ascii="Verdana" w:hAnsi="Verdana" w:cs="Arial"/>
                <w:b/>
              </w:rPr>
              <w:t>CVM</w:t>
            </w:r>
            <w:r w:rsidR="00750320" w:rsidRPr="00295D4D">
              <w:rPr>
                <w:rFonts w:ascii="Verdana" w:hAnsi="Verdana" w:cs="Arial"/>
                <w:bCs/>
              </w:rPr>
              <w:t>”</w:t>
            </w:r>
            <w:r w:rsidR="002B0752" w:rsidRPr="00295D4D">
              <w:rPr>
                <w:rFonts w:ascii="Verdana" w:hAnsi="Verdana" w:cs="Arial"/>
                <w:bCs/>
              </w:rPr>
              <w:t>) nº 160, de 13 de julho de 2022 (</w:t>
            </w:r>
            <w:r w:rsidR="00750320" w:rsidRPr="00295D4D">
              <w:rPr>
                <w:rFonts w:ascii="Verdana" w:hAnsi="Verdana" w:cs="Arial"/>
                <w:bCs/>
              </w:rPr>
              <w:t>“</w:t>
            </w:r>
            <w:r w:rsidR="002B0752" w:rsidRPr="00295D4D">
              <w:rPr>
                <w:rFonts w:ascii="Verdana" w:hAnsi="Verdana" w:cs="Arial"/>
                <w:b/>
              </w:rPr>
              <w:t>Resolução CVM 160</w:t>
            </w:r>
            <w:r w:rsidR="00750320" w:rsidRPr="00295D4D">
              <w:rPr>
                <w:rFonts w:ascii="Verdana" w:hAnsi="Verdana" w:cs="Arial"/>
                <w:bCs/>
              </w:rPr>
              <w:t>”</w:t>
            </w:r>
            <w:r w:rsidR="002B0752" w:rsidRPr="00295D4D">
              <w:rPr>
                <w:rFonts w:ascii="Verdana" w:hAnsi="Verdana" w:cs="Arial"/>
                <w:bCs/>
              </w:rPr>
              <w:t xml:space="preserve"> e </w:t>
            </w:r>
            <w:r w:rsidR="00750320" w:rsidRPr="00295D4D">
              <w:rPr>
                <w:rFonts w:ascii="Verdana" w:hAnsi="Verdana" w:cs="Arial"/>
                <w:bCs/>
              </w:rPr>
              <w:t>“</w:t>
            </w:r>
            <w:r w:rsidR="002B0752" w:rsidRPr="00295D4D">
              <w:rPr>
                <w:rFonts w:ascii="Verdana" w:hAnsi="Verdana" w:cs="Arial"/>
                <w:b/>
              </w:rPr>
              <w:t>Oferta</w:t>
            </w:r>
            <w:r w:rsidR="00750320" w:rsidRPr="00295D4D">
              <w:rPr>
                <w:rFonts w:ascii="Verdana" w:hAnsi="Verdana" w:cs="Arial"/>
                <w:bCs/>
              </w:rPr>
              <w:t>”</w:t>
            </w:r>
            <w:r w:rsidR="002B0752" w:rsidRPr="00295D4D">
              <w:rPr>
                <w:rFonts w:ascii="Verdana" w:hAnsi="Verdana" w:cs="Arial"/>
                <w:bCs/>
              </w:rPr>
              <w:t>, respectivamente)</w:t>
            </w:r>
            <w:r w:rsidR="00FC7BBE" w:rsidRPr="00295D4D">
              <w:rPr>
                <w:rFonts w:ascii="Verdana" w:hAnsi="Verdana" w:cs="Arial"/>
                <w:bCs/>
              </w:rPr>
              <w:t xml:space="preserve">, </w:t>
            </w:r>
            <w:r w:rsidR="00FC7BBE" w:rsidRPr="008C75BA">
              <w:rPr>
                <w:rFonts w:ascii="Verdana" w:hAnsi="Verdana" w:cs="Arial"/>
                <w:bCs/>
              </w:rPr>
              <w:t>destinada exclusivamente aos Acionistas, no âmbito da Oferta Prioritária</w:t>
            </w:r>
            <w:r w:rsidR="00973687" w:rsidRPr="00295D4D">
              <w:rPr>
                <w:rFonts w:ascii="Verdana" w:hAnsi="Verdana" w:cs="Arial"/>
                <w:bCs/>
              </w:rPr>
              <w:t xml:space="preserve"> (conforme </w:t>
            </w:r>
            <w:r w:rsidR="00973687" w:rsidRPr="00295D4D">
              <w:rPr>
                <w:rFonts w:ascii="Verdana" w:hAnsi="Verdana" w:cs="Arial"/>
                <w:bCs/>
              </w:rPr>
              <w:lastRenderedPageBreak/>
              <w:t>definido abaixo)</w:t>
            </w:r>
            <w:r w:rsidR="00FC7BBE" w:rsidRPr="008C75BA">
              <w:rPr>
                <w:rFonts w:ascii="Verdana" w:hAnsi="Verdana" w:cs="Arial"/>
                <w:bCs/>
              </w:rPr>
              <w:t>, e aos investidores profissionais, conforme definidos nos artigos 11 e 13 da Resolução da CVM nº 30, de 11 de maio de 2021</w:t>
            </w:r>
            <w:r w:rsidR="00973687" w:rsidRPr="00295D4D">
              <w:rPr>
                <w:rFonts w:ascii="Verdana" w:hAnsi="Verdana" w:cs="Arial"/>
                <w:bCs/>
              </w:rPr>
              <w:t xml:space="preserve"> (“</w:t>
            </w:r>
            <w:r w:rsidR="00973687" w:rsidRPr="008C75BA">
              <w:rPr>
                <w:rFonts w:ascii="Verdana" w:hAnsi="Verdana" w:cs="Arial"/>
                <w:b/>
              </w:rPr>
              <w:t>Investidores Profissionais</w:t>
            </w:r>
            <w:r w:rsidR="00973687" w:rsidRPr="00295D4D">
              <w:rPr>
                <w:rFonts w:ascii="Verdana" w:hAnsi="Verdana" w:cs="Arial"/>
                <w:bCs/>
              </w:rPr>
              <w:t>”)</w:t>
            </w:r>
            <w:r w:rsidR="00FC7BBE" w:rsidRPr="008C75BA">
              <w:rPr>
                <w:rFonts w:ascii="Verdana" w:hAnsi="Verdana" w:cs="Arial"/>
                <w:bCs/>
              </w:rPr>
              <w:t>, no âmbito da Oferta Institucional</w:t>
            </w:r>
            <w:r w:rsidR="006112F3" w:rsidRPr="00295D4D">
              <w:rPr>
                <w:rFonts w:ascii="Verdana" w:hAnsi="Verdana" w:cs="Arial"/>
                <w:bCs/>
              </w:rPr>
              <w:t xml:space="preserve"> (conforme definido ab</w:t>
            </w:r>
            <w:r w:rsidR="006112F3" w:rsidRPr="00D97AC3">
              <w:rPr>
                <w:rFonts w:ascii="Verdana" w:hAnsi="Verdana" w:cs="Arial"/>
                <w:bCs/>
              </w:rPr>
              <w:t>aixo)</w:t>
            </w:r>
            <w:r w:rsidR="00FC7BBE" w:rsidRPr="005520B3">
              <w:rPr>
                <w:rFonts w:ascii="Verdana" w:hAnsi="Verdana" w:cs="Arial"/>
                <w:bCs/>
              </w:rPr>
              <w:t>, com a colocação pr</w:t>
            </w:r>
            <w:r w:rsidR="00A465B6" w:rsidRPr="005520B3">
              <w:rPr>
                <w:rFonts w:ascii="Verdana" w:hAnsi="Verdana" w:cs="Arial"/>
                <w:bCs/>
              </w:rPr>
              <w:t>i</w:t>
            </w:r>
            <w:r w:rsidR="00FC7BBE" w:rsidRPr="005520B3">
              <w:rPr>
                <w:rFonts w:ascii="Verdana" w:hAnsi="Verdana" w:cs="Arial"/>
                <w:bCs/>
              </w:rPr>
              <w:t>vada das Ações no exterior</w:t>
            </w:r>
            <w:r w:rsidRPr="00295D4D">
              <w:rPr>
                <w:rFonts w:ascii="Verdana" w:hAnsi="Verdana" w:cs="Arial"/>
                <w:bCs/>
              </w:rPr>
              <w:t>.</w:t>
            </w:r>
          </w:p>
        </w:tc>
        <w:tc>
          <w:tcPr>
            <w:tcW w:w="5168" w:type="dxa"/>
          </w:tcPr>
          <w:p w14:paraId="2509BA68" w14:textId="0B9D8CEA" w:rsidR="00504F5E" w:rsidRPr="00282026" w:rsidRDefault="001B305F" w:rsidP="00CC7B53">
            <w:pPr>
              <w:pStyle w:val="Corpodetexto"/>
              <w:tabs>
                <w:tab w:val="left" w:pos="0"/>
                <w:tab w:val="left" w:pos="817"/>
              </w:tabs>
              <w:spacing w:line="320" w:lineRule="exact"/>
              <w:jc w:val="both"/>
              <w:rPr>
                <w:rFonts w:ascii="Verdana" w:hAnsi="Verdana" w:cs="Arial"/>
                <w:b/>
                <w:lang w:val="en-US"/>
              </w:rPr>
            </w:pPr>
            <w:r w:rsidRPr="00295D4D">
              <w:rPr>
                <w:rFonts w:ascii="Verdana" w:hAnsi="Verdana" w:cs="Arial"/>
                <w:lang w:val="en-US"/>
              </w:rPr>
              <w:lastRenderedPageBreak/>
              <w:t xml:space="preserve">Order for Subscription of Priority </w:t>
            </w:r>
            <w:r w:rsidR="00473862" w:rsidRPr="00295D4D">
              <w:rPr>
                <w:rFonts w:ascii="Verdana" w:hAnsi="Verdana" w:cs="Arial"/>
                <w:lang w:val="en-US"/>
              </w:rPr>
              <w:t>Offering</w:t>
            </w:r>
            <w:r w:rsidRPr="00295D4D">
              <w:rPr>
                <w:rFonts w:ascii="Verdana" w:hAnsi="Verdana" w:cs="Arial"/>
                <w:lang w:val="en-US"/>
              </w:rPr>
              <w:t xml:space="preserve"> to Shareholders (</w:t>
            </w:r>
            <w:r w:rsidR="00750320" w:rsidRPr="00295D4D">
              <w:rPr>
                <w:rFonts w:ascii="Verdana" w:hAnsi="Verdana" w:cs="Arial"/>
                <w:lang w:val="en-US"/>
              </w:rPr>
              <w:t>“</w:t>
            </w:r>
            <w:r w:rsidRPr="00295D4D">
              <w:rPr>
                <w:rFonts w:ascii="Verdana" w:hAnsi="Verdana" w:cs="Arial"/>
                <w:b/>
                <w:bCs/>
                <w:lang w:val="en-US"/>
              </w:rPr>
              <w:t>Priority Subscription Order</w:t>
            </w:r>
            <w:r w:rsidR="00750320" w:rsidRPr="00295D4D">
              <w:rPr>
                <w:rFonts w:ascii="Verdana" w:hAnsi="Verdana" w:cs="Arial"/>
                <w:lang w:val="en-US"/>
              </w:rPr>
              <w:t>”</w:t>
            </w:r>
            <w:r w:rsidRPr="00295D4D">
              <w:rPr>
                <w:rFonts w:ascii="Verdana" w:hAnsi="Verdana" w:cs="Arial"/>
                <w:lang w:val="en-US"/>
              </w:rPr>
              <w:t>) for the primary</w:t>
            </w:r>
            <w:r w:rsidR="0006115E" w:rsidRPr="00295D4D">
              <w:rPr>
                <w:rFonts w:ascii="Verdana" w:hAnsi="Verdana" w:cs="Arial"/>
                <w:lang w:val="en-US" w:eastAsia="en-US"/>
              </w:rPr>
              <w:t xml:space="preserve"> </w:t>
            </w:r>
            <w:r w:rsidRPr="00295D4D">
              <w:rPr>
                <w:rFonts w:ascii="Verdana" w:hAnsi="Verdana" w:cs="Arial"/>
                <w:lang w:val="en-US"/>
              </w:rPr>
              <w:t xml:space="preserve">distribution </w:t>
            </w:r>
            <w:r w:rsidR="00B63356" w:rsidRPr="00295D4D">
              <w:rPr>
                <w:rFonts w:ascii="Verdana" w:hAnsi="Verdana" w:cs="Arial"/>
                <w:lang w:val="en-US"/>
              </w:rPr>
              <w:t xml:space="preserve">of </w:t>
            </w:r>
            <w:r w:rsidR="00032CB6" w:rsidRPr="00295D4D">
              <w:rPr>
                <w:rFonts w:ascii="Verdana" w:hAnsi="Verdana" w:cs="Arial"/>
                <w:lang w:val="en-US"/>
              </w:rPr>
              <w:t>common</w:t>
            </w:r>
            <w:r w:rsidR="00D93330" w:rsidRPr="00295D4D">
              <w:rPr>
                <w:rFonts w:ascii="Verdana" w:hAnsi="Verdana" w:cs="Arial"/>
                <w:lang w:val="en-US"/>
              </w:rPr>
              <w:t xml:space="preserve"> shares</w:t>
            </w:r>
            <w:r w:rsidR="00016DC5">
              <w:rPr>
                <w:rFonts w:ascii="Verdana" w:hAnsi="Verdana" w:cs="Arial"/>
                <w:lang w:val="en-US"/>
              </w:rPr>
              <w:t>,</w:t>
            </w:r>
            <w:r w:rsidR="00016DC5" w:rsidRPr="00FA3016">
              <w:rPr>
                <w:sz w:val="24"/>
                <w:szCs w:val="24"/>
                <w:lang w:val="en-US"/>
              </w:rPr>
              <w:t xml:space="preserve"> </w:t>
            </w:r>
            <w:r w:rsidR="00016DC5" w:rsidRPr="00FA3016">
              <w:rPr>
                <w:rFonts w:ascii="Verdana" w:hAnsi="Verdana" w:cs="Arial"/>
                <w:lang w:val="en-US"/>
              </w:rPr>
              <w:t>considering the possibility of partial distribution,</w:t>
            </w:r>
            <w:r w:rsidR="00206AB3" w:rsidRPr="00295D4D">
              <w:rPr>
                <w:rFonts w:ascii="Verdana" w:hAnsi="Verdana" w:cs="Arial"/>
                <w:lang w:val="en-US"/>
              </w:rPr>
              <w:t xml:space="preserve"> </w:t>
            </w:r>
            <w:r w:rsidR="004A047C" w:rsidRPr="00295D4D">
              <w:rPr>
                <w:rFonts w:ascii="Verdana" w:hAnsi="Verdana" w:cs="Arial"/>
                <w:lang w:val="en-US"/>
              </w:rPr>
              <w:t xml:space="preserve">to be </w:t>
            </w:r>
            <w:r w:rsidR="00206AB3" w:rsidRPr="00295D4D">
              <w:rPr>
                <w:rFonts w:ascii="Verdana" w:hAnsi="Verdana" w:cs="Arial"/>
                <w:lang w:val="en-US"/>
              </w:rPr>
              <w:t xml:space="preserve">issued by </w:t>
            </w:r>
            <w:r w:rsidR="00206AB3" w:rsidRPr="00295D4D">
              <w:rPr>
                <w:rFonts w:ascii="Verdana" w:hAnsi="Verdana" w:cs="Arial"/>
                <w:bCs/>
                <w:lang w:val="en-US"/>
              </w:rPr>
              <w:t>Azul</w:t>
            </w:r>
            <w:r w:rsidR="00206AB3" w:rsidRPr="00295D4D">
              <w:rPr>
                <w:rFonts w:ascii="Verdana" w:hAnsi="Verdana" w:cs="Arial"/>
                <w:lang w:val="en-US"/>
              </w:rPr>
              <w:t xml:space="preserve"> S.A. (“</w:t>
            </w:r>
            <w:r w:rsidR="00206AB3" w:rsidRPr="00295D4D">
              <w:rPr>
                <w:rFonts w:ascii="Verdana" w:hAnsi="Verdana" w:cs="Arial"/>
                <w:b/>
                <w:bCs/>
                <w:lang w:val="en-US"/>
              </w:rPr>
              <w:t>Company</w:t>
            </w:r>
            <w:r w:rsidR="00206AB3" w:rsidRPr="00295D4D">
              <w:rPr>
                <w:rFonts w:ascii="Verdana" w:hAnsi="Verdana" w:cs="Arial"/>
                <w:lang w:val="en-US"/>
              </w:rPr>
              <w:t>”)</w:t>
            </w:r>
            <w:r w:rsidRPr="00295D4D">
              <w:rPr>
                <w:rFonts w:ascii="Verdana" w:hAnsi="Verdana" w:cs="Arial"/>
                <w:lang w:val="en-US"/>
              </w:rPr>
              <w:t>, all nominative, book</w:t>
            </w:r>
            <w:r w:rsidR="008A1AF9">
              <w:rPr>
                <w:rFonts w:ascii="Verdana" w:hAnsi="Verdana" w:cs="Arial"/>
                <w:lang w:val="en-US"/>
              </w:rPr>
              <w:t>-</w:t>
            </w:r>
            <w:r w:rsidR="004A047C" w:rsidRPr="00295D4D">
              <w:rPr>
                <w:rFonts w:ascii="Verdana" w:hAnsi="Verdana" w:cs="Arial"/>
                <w:lang w:val="en-US"/>
              </w:rPr>
              <w:t>entry</w:t>
            </w:r>
            <w:r w:rsidRPr="00295D4D">
              <w:rPr>
                <w:rFonts w:ascii="Verdana" w:hAnsi="Verdana" w:cs="Arial"/>
                <w:lang w:val="en-US"/>
              </w:rPr>
              <w:t xml:space="preserve"> shares, with no par value</w:t>
            </w:r>
            <w:r w:rsidR="000417C2" w:rsidRPr="00295D4D">
              <w:rPr>
                <w:rFonts w:ascii="Verdana" w:hAnsi="Verdana" w:cs="Arial"/>
                <w:lang w:val="en-US"/>
              </w:rPr>
              <w:t xml:space="preserve">, </w:t>
            </w:r>
            <w:r w:rsidRPr="00295D4D">
              <w:rPr>
                <w:rFonts w:ascii="Verdana" w:hAnsi="Verdana" w:cs="Arial"/>
                <w:lang w:val="en-US"/>
              </w:rPr>
              <w:t>free and clear of any lien or encumbrances</w:t>
            </w:r>
            <w:r w:rsidR="000A1549">
              <w:rPr>
                <w:rFonts w:ascii="Verdana" w:hAnsi="Verdana" w:cs="Arial"/>
                <w:lang w:val="en-US"/>
              </w:rPr>
              <w:t xml:space="preserve"> (“</w:t>
            </w:r>
            <w:r w:rsidR="000A1549" w:rsidRPr="000A1549">
              <w:rPr>
                <w:rFonts w:ascii="Verdana" w:hAnsi="Verdana" w:cs="Arial"/>
                <w:b/>
                <w:bCs/>
                <w:lang w:val="en-US"/>
              </w:rPr>
              <w:t>Shares</w:t>
            </w:r>
            <w:r w:rsidR="000A1549">
              <w:rPr>
                <w:rFonts w:ascii="Verdana" w:hAnsi="Verdana" w:cs="Arial"/>
                <w:lang w:val="en-US"/>
              </w:rPr>
              <w:t>”)</w:t>
            </w:r>
            <w:r w:rsidR="00DF04C7" w:rsidRPr="00295D4D">
              <w:rPr>
                <w:rFonts w:ascii="Verdana" w:hAnsi="Verdana" w:cs="Arial"/>
                <w:lang w:val="en-US"/>
              </w:rPr>
              <w:t>,</w:t>
            </w:r>
            <w:r w:rsidRPr="00295D4D">
              <w:rPr>
                <w:rFonts w:ascii="Verdana" w:hAnsi="Verdana" w:cs="Arial"/>
                <w:lang w:val="en-US"/>
              </w:rPr>
              <w:t xml:space="preserve"> </w:t>
            </w:r>
            <w:r w:rsidR="000417C2" w:rsidRPr="00295D4D">
              <w:rPr>
                <w:rFonts w:ascii="Verdana" w:hAnsi="Verdana" w:cs="Arial"/>
                <w:lang w:val="en-US"/>
              </w:rPr>
              <w:t>under the automatic registration procedure, pursuant to Article 26</w:t>
            </w:r>
            <w:r w:rsidR="00C73025" w:rsidRPr="00295D4D">
              <w:rPr>
                <w:rFonts w:ascii="Verdana" w:hAnsi="Verdana" w:cs="Arial"/>
                <w:lang w:val="en-US"/>
              </w:rPr>
              <w:t>, item II, subitem “a”</w:t>
            </w:r>
            <w:r w:rsidR="00C22797">
              <w:rPr>
                <w:rFonts w:ascii="Verdana" w:hAnsi="Verdana" w:cs="Arial"/>
                <w:lang w:val="en-US"/>
              </w:rPr>
              <w:t>,</w:t>
            </w:r>
            <w:r w:rsidR="000417C2" w:rsidRPr="00295D4D">
              <w:rPr>
                <w:rFonts w:ascii="Verdana" w:hAnsi="Verdana" w:cs="Arial"/>
                <w:lang w:val="en-US"/>
              </w:rPr>
              <w:t xml:space="preserve"> of Brazilian Securities Commission (</w:t>
            </w:r>
            <w:r w:rsidR="00750320" w:rsidRPr="00295D4D">
              <w:rPr>
                <w:rFonts w:ascii="Verdana" w:hAnsi="Verdana" w:cs="Arial"/>
                <w:lang w:val="en-US"/>
              </w:rPr>
              <w:t>“</w:t>
            </w:r>
            <w:r w:rsidR="000417C2" w:rsidRPr="00295D4D">
              <w:rPr>
                <w:rFonts w:ascii="Verdana" w:hAnsi="Verdana" w:cs="Arial"/>
                <w:b/>
                <w:bCs/>
                <w:lang w:val="en-US"/>
              </w:rPr>
              <w:t>CVM</w:t>
            </w:r>
            <w:r w:rsidR="00750320" w:rsidRPr="00295D4D">
              <w:rPr>
                <w:rFonts w:ascii="Verdana" w:hAnsi="Verdana" w:cs="Arial"/>
                <w:lang w:val="en-US"/>
              </w:rPr>
              <w:t>”</w:t>
            </w:r>
            <w:r w:rsidR="000417C2" w:rsidRPr="00295D4D">
              <w:rPr>
                <w:rFonts w:ascii="Verdana" w:hAnsi="Verdana" w:cs="Arial"/>
                <w:lang w:val="en-US"/>
              </w:rPr>
              <w:t>) Resolution No. 160 as of July 13, 2022 (</w:t>
            </w:r>
            <w:r w:rsidR="00750320" w:rsidRPr="00295D4D">
              <w:rPr>
                <w:rFonts w:ascii="Verdana" w:hAnsi="Verdana" w:cs="Arial"/>
                <w:lang w:val="en-US"/>
              </w:rPr>
              <w:t>“</w:t>
            </w:r>
            <w:r w:rsidR="000417C2" w:rsidRPr="00295D4D">
              <w:rPr>
                <w:rFonts w:ascii="Verdana" w:hAnsi="Verdana" w:cs="Arial"/>
                <w:b/>
                <w:bCs/>
                <w:lang w:val="en-US"/>
              </w:rPr>
              <w:t>CVM Resolution 160</w:t>
            </w:r>
            <w:r w:rsidR="00750320" w:rsidRPr="00295D4D">
              <w:rPr>
                <w:rFonts w:ascii="Verdana" w:hAnsi="Verdana" w:cs="Arial"/>
                <w:lang w:val="en-US"/>
              </w:rPr>
              <w:t>”</w:t>
            </w:r>
            <w:r w:rsidRPr="00295D4D">
              <w:rPr>
                <w:rFonts w:ascii="Verdana" w:hAnsi="Verdana" w:cs="Arial"/>
                <w:lang w:val="en-US"/>
              </w:rPr>
              <w:t xml:space="preserve"> and </w:t>
            </w:r>
            <w:r w:rsidR="00750320" w:rsidRPr="00295D4D">
              <w:rPr>
                <w:rFonts w:ascii="Verdana" w:hAnsi="Verdana" w:cs="Arial"/>
                <w:lang w:val="en-US"/>
              </w:rPr>
              <w:t>“</w:t>
            </w:r>
            <w:r w:rsidR="00473862" w:rsidRPr="00295D4D">
              <w:rPr>
                <w:rFonts w:ascii="Verdana" w:hAnsi="Verdana" w:cs="Arial"/>
                <w:b/>
                <w:bCs/>
                <w:lang w:val="en-US"/>
              </w:rPr>
              <w:t>Offering</w:t>
            </w:r>
            <w:r w:rsidR="00750320" w:rsidRPr="00295D4D">
              <w:rPr>
                <w:rFonts w:ascii="Verdana" w:hAnsi="Verdana" w:cs="Arial"/>
                <w:lang w:val="en-US"/>
              </w:rPr>
              <w:t>”</w:t>
            </w:r>
            <w:r w:rsidRPr="00295D4D">
              <w:rPr>
                <w:rFonts w:ascii="Verdana" w:hAnsi="Verdana" w:cs="Arial"/>
                <w:lang w:val="en-US"/>
              </w:rPr>
              <w:t>)</w:t>
            </w:r>
            <w:r w:rsidR="00E2461E" w:rsidRPr="00295D4D">
              <w:rPr>
                <w:rFonts w:ascii="Verdana" w:hAnsi="Verdana" w:cs="Arial"/>
                <w:lang w:val="en-US"/>
              </w:rPr>
              <w:t>, intended</w:t>
            </w:r>
            <w:r w:rsidR="004A047C" w:rsidRPr="00295D4D">
              <w:rPr>
                <w:rFonts w:ascii="Verdana" w:hAnsi="Verdana" w:cs="Arial"/>
                <w:lang w:val="en-US"/>
              </w:rPr>
              <w:t xml:space="preserve"> exclusively for</w:t>
            </w:r>
            <w:r w:rsidR="00E2461E" w:rsidRPr="00295D4D">
              <w:rPr>
                <w:rFonts w:ascii="Verdana" w:hAnsi="Verdana" w:cs="Arial"/>
                <w:lang w:val="en-US"/>
              </w:rPr>
              <w:t xml:space="preserve"> the Shareholders, within the scope of the Priority </w:t>
            </w:r>
            <w:r w:rsidR="004A047C" w:rsidRPr="00295D4D">
              <w:rPr>
                <w:rFonts w:ascii="Verdana" w:hAnsi="Verdana" w:cs="Arial"/>
                <w:lang w:val="en-US"/>
              </w:rPr>
              <w:t>Offering</w:t>
            </w:r>
            <w:r w:rsidR="00E2461E" w:rsidRPr="00295D4D">
              <w:rPr>
                <w:rFonts w:ascii="Verdana" w:hAnsi="Verdana" w:cs="Arial"/>
                <w:lang w:val="en-US"/>
              </w:rPr>
              <w:t xml:space="preserve"> (as defined below), and for professional investors, as defined in articles 11 and 13 </w:t>
            </w:r>
            <w:r w:rsidR="00E2461E" w:rsidRPr="00295D4D">
              <w:rPr>
                <w:rFonts w:ascii="Verdana" w:hAnsi="Verdana" w:cs="Arial"/>
                <w:lang w:val="en-US"/>
              </w:rPr>
              <w:lastRenderedPageBreak/>
              <w:t>of CVM Resolution No. 30, of May 11, 2021 (“</w:t>
            </w:r>
            <w:r w:rsidR="00E2461E" w:rsidRPr="008C75BA">
              <w:rPr>
                <w:rFonts w:ascii="Verdana" w:hAnsi="Verdana" w:cs="Arial"/>
                <w:b/>
                <w:bCs/>
                <w:lang w:val="en-US"/>
              </w:rPr>
              <w:t>Professional Investors</w:t>
            </w:r>
            <w:r w:rsidR="00E2461E" w:rsidRPr="00295D4D">
              <w:rPr>
                <w:rFonts w:ascii="Verdana" w:hAnsi="Verdana" w:cs="Arial"/>
                <w:lang w:val="en-US"/>
              </w:rPr>
              <w:t>”)</w:t>
            </w:r>
            <w:r w:rsidR="001C6D03" w:rsidRPr="00295D4D">
              <w:rPr>
                <w:rFonts w:ascii="Verdana" w:hAnsi="Verdana" w:cs="Arial"/>
                <w:lang w:val="en-US"/>
              </w:rPr>
              <w:t>, within the scope of the Institutional Offering (as defined below</w:t>
            </w:r>
            <w:r w:rsidR="001C6D03" w:rsidRPr="00D97AC3">
              <w:rPr>
                <w:rFonts w:ascii="Verdana" w:hAnsi="Verdana" w:cs="Arial"/>
                <w:lang w:val="en-US"/>
              </w:rPr>
              <w:t>)</w:t>
            </w:r>
            <w:r w:rsidR="004F2A00">
              <w:rPr>
                <w:rFonts w:ascii="Verdana" w:hAnsi="Verdana" w:cs="Arial"/>
                <w:lang w:val="en-US"/>
              </w:rPr>
              <w:t xml:space="preserve">, with private placement of the Shares </w:t>
            </w:r>
            <w:r w:rsidR="009F38CE">
              <w:rPr>
                <w:rFonts w:ascii="Verdana" w:hAnsi="Verdana" w:cs="Arial"/>
                <w:lang w:val="en-US"/>
              </w:rPr>
              <w:t>abroad</w:t>
            </w:r>
            <w:r w:rsidR="00CC3891">
              <w:rPr>
                <w:rFonts w:ascii="Verdana" w:hAnsi="Verdana" w:cs="Arial"/>
                <w:lang w:val="en-US"/>
              </w:rPr>
              <w:t>.</w:t>
            </w:r>
          </w:p>
        </w:tc>
      </w:tr>
      <w:tr w:rsidR="00CC7B53" w:rsidRPr="00016DC5" w14:paraId="3D4E8B8C" w14:textId="77777777" w:rsidTr="00BE12AD">
        <w:trPr>
          <w:trHeight w:val="20"/>
          <w:jc w:val="center"/>
        </w:trPr>
        <w:tc>
          <w:tcPr>
            <w:tcW w:w="5382" w:type="dxa"/>
          </w:tcPr>
          <w:p w14:paraId="5DE833BA" w14:textId="77777777" w:rsidR="00CC7B53" w:rsidRPr="00887C9E" w:rsidRDefault="00CC7B53" w:rsidP="00B910E6">
            <w:pPr>
              <w:pStyle w:val="Corpodetexto"/>
              <w:tabs>
                <w:tab w:val="left" w:pos="0"/>
                <w:tab w:val="left" w:pos="817"/>
              </w:tabs>
              <w:spacing w:line="320" w:lineRule="exact"/>
              <w:jc w:val="both"/>
              <w:rPr>
                <w:rFonts w:ascii="Verdana" w:hAnsi="Verdana" w:cs="Arial"/>
                <w:bCs/>
                <w:lang w:val="en-US"/>
              </w:rPr>
            </w:pPr>
          </w:p>
        </w:tc>
        <w:tc>
          <w:tcPr>
            <w:tcW w:w="5168" w:type="dxa"/>
          </w:tcPr>
          <w:p w14:paraId="30155444" w14:textId="77777777" w:rsidR="00CC7B53" w:rsidRPr="00295D4D" w:rsidRDefault="00CC7B53" w:rsidP="006A49F4">
            <w:pPr>
              <w:pStyle w:val="Corpodetexto"/>
              <w:tabs>
                <w:tab w:val="left" w:pos="0"/>
                <w:tab w:val="left" w:pos="817"/>
              </w:tabs>
              <w:spacing w:line="320" w:lineRule="exact"/>
              <w:jc w:val="both"/>
              <w:rPr>
                <w:rFonts w:ascii="Verdana" w:hAnsi="Verdana" w:cs="Arial"/>
                <w:lang w:val="en-US"/>
              </w:rPr>
            </w:pPr>
          </w:p>
        </w:tc>
      </w:tr>
      <w:tr w:rsidR="00CC7B53" w:rsidRPr="00016DC5" w14:paraId="3CFB8ACE" w14:textId="77777777" w:rsidTr="00BE12AD">
        <w:trPr>
          <w:trHeight w:val="20"/>
          <w:jc w:val="center"/>
        </w:trPr>
        <w:tc>
          <w:tcPr>
            <w:tcW w:w="5382" w:type="dxa"/>
          </w:tcPr>
          <w:p w14:paraId="36FAD58F" w14:textId="1902B856" w:rsidR="00C22797" w:rsidRPr="00BE12AD" w:rsidRDefault="00BE12AD" w:rsidP="00B910E6">
            <w:pPr>
              <w:pStyle w:val="Corpodetexto"/>
              <w:tabs>
                <w:tab w:val="left" w:pos="0"/>
                <w:tab w:val="left" w:pos="817"/>
              </w:tabs>
              <w:spacing w:line="320" w:lineRule="exact"/>
              <w:jc w:val="both"/>
              <w:rPr>
                <w:rFonts w:ascii="Verdana" w:hAnsi="Verdana" w:cs="Arial"/>
              </w:rPr>
            </w:pPr>
            <w:r w:rsidRPr="00BE12AD">
              <w:rPr>
                <w:rFonts w:ascii="Verdana" w:hAnsi="Verdana" w:cs="Arial"/>
              </w:rPr>
              <w:t>A Oferta ocorre no contexto do plano de reestruturação da Companhia nos Estados Unidos da América (“</w:t>
            </w:r>
            <w:r w:rsidRPr="00BE12AD">
              <w:rPr>
                <w:rFonts w:ascii="Verdana" w:hAnsi="Verdana" w:cs="Arial"/>
                <w:b/>
                <w:bCs/>
              </w:rPr>
              <w:t>Estados Unidos</w:t>
            </w:r>
            <w:r w:rsidRPr="00BE12AD">
              <w:rPr>
                <w:rFonts w:ascii="Verdana" w:hAnsi="Verdana" w:cs="Arial"/>
              </w:rPr>
              <w:t xml:space="preserve">”), sob o </w:t>
            </w:r>
            <w:r w:rsidRPr="00BE12AD">
              <w:rPr>
                <w:rFonts w:ascii="Verdana" w:hAnsi="Verdana" w:cs="Arial"/>
                <w:i/>
                <w:iCs/>
              </w:rPr>
              <w:t>Chapter 11</w:t>
            </w:r>
            <w:r w:rsidRPr="00BE12AD">
              <w:rPr>
                <w:rFonts w:ascii="Verdana" w:hAnsi="Verdana" w:cs="Arial"/>
              </w:rPr>
              <w:t xml:space="preserve"> do </w:t>
            </w:r>
            <w:r w:rsidRPr="00BE12AD">
              <w:rPr>
                <w:rFonts w:ascii="Verdana" w:hAnsi="Verdana" w:cs="Arial"/>
                <w:i/>
                <w:iCs/>
              </w:rPr>
              <w:t>United States Bankruptcy Code</w:t>
            </w:r>
            <w:r w:rsidRPr="00BE12AD">
              <w:rPr>
                <w:rFonts w:ascii="Verdana" w:hAnsi="Verdana" w:cs="Arial"/>
              </w:rPr>
              <w:t xml:space="preserve"> (“</w:t>
            </w:r>
            <w:r w:rsidRPr="00BE12AD">
              <w:rPr>
                <w:rFonts w:ascii="Verdana" w:hAnsi="Verdana" w:cs="Arial"/>
                <w:b/>
                <w:bCs/>
              </w:rPr>
              <w:t>Reestruturação</w:t>
            </w:r>
            <w:r w:rsidRPr="00BE12AD">
              <w:rPr>
                <w:rFonts w:ascii="Verdana" w:hAnsi="Verdana" w:cs="Arial"/>
              </w:rPr>
              <w:t>”), com o objetivo de captar novos recursos e também permitir a capitalização de créditos oriundos do financiamento DIP (</w:t>
            </w:r>
            <w:r w:rsidRPr="00BE12AD">
              <w:rPr>
                <w:rFonts w:ascii="Verdana" w:hAnsi="Verdana" w:cs="Arial"/>
                <w:i/>
                <w:iCs/>
              </w:rPr>
              <w:t>Debtor in Possession</w:t>
            </w:r>
            <w:r w:rsidRPr="00BE12AD">
              <w:rPr>
                <w:rFonts w:ascii="Verdana" w:hAnsi="Verdana" w:cs="Arial"/>
              </w:rPr>
              <w:t>, “</w:t>
            </w:r>
            <w:r w:rsidRPr="00BE12AD">
              <w:rPr>
                <w:rFonts w:ascii="Verdana" w:hAnsi="Verdana" w:cs="Arial"/>
                <w:b/>
                <w:bCs/>
              </w:rPr>
              <w:t>DIP</w:t>
            </w:r>
            <w:r w:rsidRPr="00BE12AD">
              <w:rPr>
                <w:rFonts w:ascii="Verdana" w:hAnsi="Verdana" w:cs="Arial"/>
              </w:rPr>
              <w:t>”) concedido no contexto do referido processo de Reestruturação, em ambos os casos visando suportar a implementação do plano aprovado no âmbito da Reestruturação (“</w:t>
            </w:r>
            <w:r w:rsidRPr="00BE12AD">
              <w:rPr>
                <w:rFonts w:ascii="Verdana" w:hAnsi="Verdana" w:cs="Arial"/>
                <w:b/>
                <w:bCs/>
              </w:rPr>
              <w:t>Plano</w:t>
            </w:r>
            <w:r w:rsidRPr="00BE12AD">
              <w:rPr>
                <w:rFonts w:ascii="Verdana" w:hAnsi="Verdana" w:cs="Arial"/>
              </w:rPr>
              <w:t>”). A Companhia celebrou compromissos de investimento (em conjunto, os “</w:t>
            </w:r>
            <w:r w:rsidRPr="00BE12AD">
              <w:rPr>
                <w:rFonts w:ascii="Verdana" w:hAnsi="Verdana" w:cs="Arial"/>
                <w:b/>
                <w:bCs/>
              </w:rPr>
              <w:t>Compromissos de Investimento</w:t>
            </w:r>
            <w:r w:rsidRPr="00BE12AD">
              <w:rPr>
                <w:rFonts w:ascii="Verdana" w:hAnsi="Verdana" w:cs="Arial"/>
              </w:rPr>
              <w:t>”) para assegurar a viabilidade e a concretização da captação, incluindo: (i) o “</w:t>
            </w:r>
            <w:r w:rsidRPr="00BE12AD">
              <w:rPr>
                <w:rFonts w:ascii="Verdana" w:hAnsi="Verdana" w:cs="Arial"/>
                <w:i/>
                <w:iCs/>
              </w:rPr>
              <w:t>Backstop Commitment Agreement</w:t>
            </w:r>
            <w:r w:rsidRPr="00BE12AD">
              <w:rPr>
                <w:rFonts w:ascii="Verdana" w:hAnsi="Verdana" w:cs="Arial"/>
              </w:rPr>
              <w:t>”, datado de 31 de julho de 2025, celebrado entre a Companhia, as demais devedoras nele referidas e os investidores compromitentes nele indicados (“</w:t>
            </w:r>
            <w:r w:rsidRPr="00BE12AD">
              <w:rPr>
                <w:rFonts w:ascii="Verdana" w:hAnsi="Verdana" w:cs="Arial"/>
                <w:b/>
                <w:bCs/>
              </w:rPr>
              <w:t>Investidores Compromitentes</w:t>
            </w:r>
            <w:r w:rsidRPr="00BE12AD">
              <w:rPr>
                <w:rFonts w:ascii="Verdana" w:hAnsi="Verdana" w:cs="Arial"/>
              </w:rPr>
              <w:t>”); e (ii) o compromisso de investimento entre a Companhia e a United Airlines, Inc. (“</w:t>
            </w:r>
            <w:r w:rsidRPr="00BE12AD">
              <w:rPr>
                <w:rFonts w:ascii="Verdana" w:hAnsi="Verdana" w:cs="Arial"/>
                <w:b/>
                <w:bCs/>
              </w:rPr>
              <w:t>United</w:t>
            </w:r>
            <w:r w:rsidRPr="00BE12AD">
              <w:rPr>
                <w:rFonts w:ascii="Verdana" w:hAnsi="Verdana" w:cs="Arial"/>
              </w:rPr>
              <w:t>”). Nos termos desses acordos, sujeito ao cumprimento (ou dispensa, conforme o caso) das condições neles previstas, (a) a United assumiu o compromisso de subscrever Ações no contexto da Oferta, no montante total de US$100.000.000,00, sujeita à obtenção, até o final do Procedimento de Alocação (conforme abaixo definido), de aprovação do Conselho Administrativo de Defesa Econômica (“</w:t>
            </w:r>
            <w:r w:rsidRPr="00BE12AD">
              <w:rPr>
                <w:rFonts w:ascii="Verdana" w:hAnsi="Verdana" w:cs="Arial"/>
                <w:b/>
                <w:bCs/>
              </w:rPr>
              <w:t>CADE</w:t>
            </w:r>
            <w:r w:rsidRPr="00BE12AD">
              <w:rPr>
                <w:rFonts w:ascii="Verdana" w:hAnsi="Verdana" w:cs="Arial"/>
              </w:rPr>
              <w:t xml:space="preserve">”), observado o disposto no respectivo acordo; e (b) os Investidores Compromitentes assumiram, individualmente e não solidariamente, o compromisso de subscrever Ações no montante líquido total de até US$750.750.000,00, com incremento potencial de US$ 101.500.000,00 por determinados Investidores Compromitentes, conforme detalhado a seguir, na medida em que, ao final do Procedimento de Alocação, as Ações não sejam subscritas por outros investidores no </w:t>
            </w:r>
            <w:r w:rsidRPr="00BE12AD">
              <w:rPr>
                <w:rFonts w:ascii="Verdana" w:hAnsi="Verdana" w:cs="Arial"/>
              </w:rPr>
              <w:lastRenderedPageBreak/>
              <w:t>contexto da Oferta, incluindo por meio da Oferta Prioritária</w:t>
            </w:r>
            <w:r w:rsidR="00CC7B53" w:rsidRPr="00BE12AD">
              <w:rPr>
                <w:rFonts w:ascii="Verdana" w:hAnsi="Verdana" w:cs="Arial"/>
              </w:rPr>
              <w:t>.</w:t>
            </w:r>
          </w:p>
          <w:p w14:paraId="4A5B4B53" w14:textId="77777777" w:rsidR="00C22797" w:rsidRDefault="00C22797" w:rsidP="00B910E6">
            <w:pPr>
              <w:pStyle w:val="Corpodetexto"/>
              <w:tabs>
                <w:tab w:val="left" w:pos="0"/>
                <w:tab w:val="left" w:pos="817"/>
              </w:tabs>
              <w:spacing w:line="320" w:lineRule="exact"/>
              <w:jc w:val="both"/>
              <w:rPr>
                <w:rFonts w:ascii="Verdana" w:hAnsi="Verdana" w:cs="Arial"/>
              </w:rPr>
            </w:pPr>
          </w:p>
          <w:p w14:paraId="0CA2EC5F" w14:textId="4CFB2F5E" w:rsidR="00CC7B53" w:rsidRPr="00BE12AD" w:rsidRDefault="00BE12AD" w:rsidP="00B910E6">
            <w:pPr>
              <w:pStyle w:val="Corpodetexto"/>
              <w:tabs>
                <w:tab w:val="left" w:pos="0"/>
                <w:tab w:val="left" w:pos="817"/>
              </w:tabs>
              <w:spacing w:line="320" w:lineRule="exact"/>
              <w:jc w:val="both"/>
              <w:rPr>
                <w:rFonts w:ascii="Verdana" w:hAnsi="Verdana" w:cs="Arial"/>
                <w:bCs/>
              </w:rPr>
            </w:pPr>
            <w:r w:rsidRPr="00BE12AD">
              <w:rPr>
                <w:rFonts w:ascii="Verdana" w:hAnsi="Verdana" w:cs="Arial"/>
              </w:rPr>
              <w:t>Nos termos do Plano, as Ações também poderão ser subscritas pelos detentores (“</w:t>
            </w:r>
            <w:r w:rsidRPr="00BE12AD">
              <w:rPr>
                <w:rFonts w:ascii="Verdana" w:hAnsi="Verdana" w:cs="Arial"/>
                <w:b/>
                <w:bCs/>
              </w:rPr>
              <w:t>Titulares das Notas 1L e 2L</w:t>
            </w:r>
            <w:r w:rsidRPr="00BE12AD">
              <w:rPr>
                <w:rFonts w:ascii="Verdana" w:hAnsi="Verdana" w:cs="Arial"/>
              </w:rPr>
              <w:t xml:space="preserve">”) das </w:t>
            </w:r>
            <w:r w:rsidRPr="00BE12AD">
              <w:rPr>
                <w:rFonts w:ascii="Verdana" w:hAnsi="Verdana" w:cs="Arial"/>
                <w:i/>
                <w:iCs/>
              </w:rPr>
              <w:t>Senior Notes</w:t>
            </w:r>
            <w:r w:rsidRPr="00BE12AD">
              <w:rPr>
                <w:rFonts w:ascii="Verdana" w:hAnsi="Verdana" w:cs="Arial"/>
              </w:rPr>
              <w:t xml:space="preserve"> de cupom de 11,930%, com vencimento</w:t>
            </w:r>
            <w:r w:rsidRPr="00BE12AD">
              <w:rPr>
                <w:rFonts w:ascii="Verdana" w:hAnsi="Verdana" w:cs="Arial"/>
                <w:bCs/>
              </w:rPr>
              <w:t xml:space="preserve"> em 2028 (“</w:t>
            </w:r>
            <w:r w:rsidRPr="00BE12AD">
              <w:rPr>
                <w:rFonts w:ascii="Verdana" w:hAnsi="Verdana" w:cs="Arial"/>
                <w:b/>
              </w:rPr>
              <w:t>Notas 1L</w:t>
            </w:r>
            <w:r w:rsidRPr="00BE12AD">
              <w:rPr>
                <w:rFonts w:ascii="Verdana" w:hAnsi="Verdana" w:cs="Arial"/>
                <w:bCs/>
              </w:rPr>
              <w:t xml:space="preserve">”) e das </w:t>
            </w:r>
            <w:r w:rsidRPr="00BE12AD">
              <w:rPr>
                <w:rFonts w:ascii="Verdana" w:hAnsi="Verdana" w:cs="Arial"/>
                <w:bCs/>
                <w:i/>
                <w:iCs/>
              </w:rPr>
              <w:t>Senior Notes</w:t>
            </w:r>
            <w:r w:rsidRPr="00BE12AD">
              <w:rPr>
                <w:rFonts w:ascii="Verdana" w:hAnsi="Verdana" w:cs="Arial"/>
                <w:bCs/>
              </w:rPr>
              <w:t xml:space="preserve"> de cupom de</w:t>
            </w:r>
            <w:r w:rsidRPr="00BE12AD">
              <w:rPr>
                <w:rFonts w:ascii="Verdana" w:hAnsi="Verdana" w:cs="Arial"/>
              </w:rPr>
              <w:t xml:space="preserve"> </w:t>
            </w:r>
            <w:r w:rsidRPr="00BE12AD">
              <w:rPr>
                <w:rFonts w:ascii="Verdana" w:hAnsi="Verdana" w:cs="Arial"/>
                <w:bCs/>
              </w:rPr>
              <w:t>11,500%, com vencimento em 2029 e de cupom de 10,875%, com vencimento em 2030 (“</w:t>
            </w:r>
            <w:r w:rsidRPr="00BE12AD">
              <w:rPr>
                <w:rFonts w:ascii="Verdana" w:hAnsi="Verdana" w:cs="Arial"/>
                <w:b/>
              </w:rPr>
              <w:t>Notas 2L</w:t>
            </w:r>
            <w:r w:rsidRPr="00BE12AD">
              <w:rPr>
                <w:rFonts w:ascii="Verdana" w:hAnsi="Verdana" w:cs="Arial"/>
                <w:bCs/>
              </w:rPr>
              <w:t>” e, em conjunto com as Notas 1L, “</w:t>
            </w:r>
            <w:r w:rsidRPr="00BE12AD">
              <w:rPr>
                <w:rFonts w:ascii="Verdana" w:hAnsi="Verdana" w:cs="Arial"/>
                <w:b/>
              </w:rPr>
              <w:t>Notas</w:t>
            </w:r>
            <w:r w:rsidRPr="00BE12AD">
              <w:rPr>
                <w:rFonts w:ascii="Verdana" w:hAnsi="Verdana" w:cs="Arial"/>
                <w:bCs/>
              </w:rPr>
              <w:t>”), emitidas pela Azul Secured Finance LLP, cujos respectivos créditos foram capitalizados por meio da oferta pública da Companhia encerrada em 13 de janeiro de 2026 (“</w:t>
            </w:r>
            <w:r w:rsidRPr="00BE12AD">
              <w:rPr>
                <w:rFonts w:ascii="Verdana" w:hAnsi="Verdana" w:cs="Arial"/>
                <w:b/>
              </w:rPr>
              <w:t>Oferta de Equitização</w:t>
            </w:r>
            <w:r w:rsidRPr="00BE12AD">
              <w:rPr>
                <w:rFonts w:ascii="Verdana" w:hAnsi="Verdana" w:cs="Arial"/>
                <w:bCs/>
              </w:rPr>
              <w:t xml:space="preserve">”) e que, portanto, passaram a ter como ativo subjacente ações da Companhia, após a entrega das Notas de que são titulares por meio do </w:t>
            </w:r>
            <w:r w:rsidRPr="00BE12AD">
              <w:rPr>
                <w:rFonts w:ascii="Verdana" w:hAnsi="Verdana" w:cs="Arial"/>
                <w:bCs/>
                <w:i/>
                <w:iCs/>
              </w:rPr>
              <w:t>Depositary Trust Company’s</w:t>
            </w:r>
            <w:r w:rsidRPr="00BE12AD">
              <w:rPr>
                <w:rFonts w:ascii="Verdana" w:hAnsi="Verdana" w:cs="Arial"/>
                <w:bCs/>
              </w:rPr>
              <w:t xml:space="preserve"> (“</w:t>
            </w:r>
            <w:r w:rsidRPr="00BE12AD">
              <w:rPr>
                <w:rFonts w:ascii="Verdana" w:hAnsi="Verdana" w:cs="Arial"/>
                <w:b/>
              </w:rPr>
              <w:t>DTC</w:t>
            </w:r>
            <w:r w:rsidRPr="00BE12AD">
              <w:rPr>
                <w:rFonts w:ascii="Verdana" w:hAnsi="Verdana" w:cs="Arial"/>
                <w:bCs/>
              </w:rPr>
              <w:t>”)</w:t>
            </w:r>
            <w:r w:rsidRPr="00BE12AD">
              <w:rPr>
                <w:rFonts w:ascii="Verdana" w:hAnsi="Verdana" w:cs="Arial"/>
              </w:rPr>
              <w:t xml:space="preserve"> </w:t>
            </w:r>
            <w:r w:rsidRPr="00BE12AD">
              <w:rPr>
                <w:rFonts w:ascii="Verdana" w:hAnsi="Verdana" w:cs="Arial"/>
                <w:i/>
                <w:iCs/>
              </w:rPr>
              <w:t>Automated Tender Offer Program</w:t>
            </w:r>
            <w:r w:rsidRPr="00BE12AD">
              <w:rPr>
                <w:rFonts w:ascii="Verdana" w:hAnsi="Verdana" w:cs="Arial"/>
                <w:bCs/>
              </w:rPr>
              <w:t xml:space="preserve"> (“</w:t>
            </w:r>
            <w:r w:rsidRPr="00BE12AD">
              <w:rPr>
                <w:rFonts w:ascii="Verdana" w:hAnsi="Verdana" w:cs="Arial"/>
                <w:b/>
              </w:rPr>
              <w:t>ATOP</w:t>
            </w:r>
            <w:r w:rsidRPr="00BE12AD">
              <w:rPr>
                <w:rFonts w:ascii="Verdana" w:hAnsi="Verdana" w:cs="Arial"/>
                <w:bCs/>
              </w:rPr>
              <w:t xml:space="preserve">”) e mediante o pagamento do Preço por Ação. Além disso, os Titulares das Notas 1L e 2L </w:t>
            </w:r>
            <w:r w:rsidRPr="00BE12AD">
              <w:rPr>
                <w:rFonts w:ascii="Verdana" w:hAnsi="Verdana" w:cs="Arial"/>
              </w:rPr>
              <w:t xml:space="preserve">detentores das </w:t>
            </w:r>
            <w:r w:rsidRPr="00BE12AD">
              <w:rPr>
                <w:rFonts w:ascii="Verdana" w:hAnsi="Verdana" w:cs="Arial"/>
                <w:i/>
                <w:iCs/>
              </w:rPr>
              <w:t>Senior Secured Notes</w:t>
            </w:r>
            <w:r w:rsidRPr="00BE12AD">
              <w:rPr>
                <w:rFonts w:ascii="Verdana" w:hAnsi="Verdana" w:cs="Arial"/>
              </w:rPr>
              <w:t xml:space="preserve"> de cupom de </w:t>
            </w:r>
            <w:r w:rsidRPr="00BE12AD">
              <w:rPr>
                <w:rFonts w:ascii="Verdana" w:hAnsi="Verdana" w:cs="Arial"/>
                <w:bCs/>
              </w:rPr>
              <w:t>15.000%, com vencimento em 2026, emitidas a título de financiamento</w:t>
            </w:r>
            <w:r w:rsidRPr="00BE12AD">
              <w:rPr>
                <w:rFonts w:ascii="Verdana" w:hAnsi="Verdana"/>
              </w:rPr>
              <w:t xml:space="preserve"> DIP</w:t>
            </w:r>
            <w:r w:rsidRPr="00BE12AD">
              <w:rPr>
                <w:rFonts w:ascii="Verdana" w:hAnsi="Verdana" w:cs="Arial"/>
                <w:bCs/>
              </w:rPr>
              <w:t xml:space="preserve"> no contexto da Reestruturação (“</w:t>
            </w:r>
            <w:r w:rsidRPr="00BE12AD">
              <w:rPr>
                <w:rFonts w:ascii="Verdana" w:hAnsi="Verdana" w:cs="Arial"/>
                <w:b/>
              </w:rPr>
              <w:t>Notas DIP</w:t>
            </w:r>
            <w:r w:rsidRPr="00BE12AD">
              <w:rPr>
                <w:rFonts w:ascii="Verdana" w:hAnsi="Verdana" w:cs="Arial"/>
                <w:bCs/>
              </w:rPr>
              <w:t xml:space="preserve">”) </w:t>
            </w:r>
            <w:r w:rsidRPr="00BE12AD">
              <w:rPr>
                <w:rFonts w:ascii="Verdana" w:hAnsi="Verdana" w:cs="Arial"/>
              </w:rPr>
              <w:t>poderão participar da Oferta Institucional e integralizar as Ações em moeda corrente ou com créditos existentes e derivados das Notas DIP contra a Companhia</w:t>
            </w:r>
            <w:r w:rsidR="00CC7B53" w:rsidRPr="00BE12AD">
              <w:rPr>
                <w:rFonts w:ascii="Verdana" w:hAnsi="Verdana" w:cs="Arial"/>
              </w:rPr>
              <w:t>.</w:t>
            </w:r>
          </w:p>
        </w:tc>
        <w:tc>
          <w:tcPr>
            <w:tcW w:w="5168" w:type="dxa"/>
          </w:tcPr>
          <w:p w14:paraId="4F0A9849" w14:textId="6F4BFCEB" w:rsidR="00C22797" w:rsidRDefault="00BE12AD" w:rsidP="00265CEB">
            <w:pPr>
              <w:pStyle w:val="Corpodetexto"/>
              <w:tabs>
                <w:tab w:val="left" w:pos="0"/>
                <w:tab w:val="left" w:pos="817"/>
              </w:tabs>
              <w:spacing w:line="320" w:lineRule="exact"/>
              <w:jc w:val="both"/>
              <w:rPr>
                <w:rFonts w:ascii="Verdana" w:hAnsi="Verdana" w:cs="Arial"/>
                <w:lang w:val="en-US"/>
              </w:rPr>
            </w:pPr>
            <w:r w:rsidRPr="00BE12AD">
              <w:rPr>
                <w:rFonts w:ascii="Verdana" w:hAnsi="Verdana" w:cs="Arial"/>
                <w:lang w:val="en-US"/>
              </w:rPr>
              <w:lastRenderedPageBreak/>
              <w:t>The Offering takes place in the context of the Company's restructuring plan in the United States of America ("</w:t>
            </w:r>
            <w:r w:rsidRPr="00BE12AD">
              <w:rPr>
                <w:rFonts w:ascii="Verdana" w:hAnsi="Verdana" w:cs="Arial"/>
                <w:b/>
                <w:bCs/>
                <w:lang w:val="en-US"/>
              </w:rPr>
              <w:t>United States</w:t>
            </w:r>
            <w:r w:rsidRPr="00BE12AD">
              <w:rPr>
                <w:rFonts w:ascii="Verdana" w:hAnsi="Verdana" w:cs="Arial"/>
                <w:lang w:val="en-US"/>
              </w:rPr>
              <w:t xml:space="preserve">"), under </w:t>
            </w:r>
            <w:r w:rsidRPr="00BE12AD">
              <w:rPr>
                <w:rFonts w:ascii="Verdana" w:hAnsi="Verdana" w:cs="Arial"/>
                <w:i/>
                <w:iCs/>
                <w:lang w:val="en-US"/>
              </w:rPr>
              <w:t>Chapter 11</w:t>
            </w:r>
            <w:r w:rsidRPr="00BE12AD">
              <w:rPr>
                <w:rFonts w:ascii="Verdana" w:hAnsi="Verdana" w:cs="Arial"/>
                <w:lang w:val="en-US"/>
              </w:rPr>
              <w:t xml:space="preserve"> of the </w:t>
            </w:r>
            <w:r w:rsidRPr="00BE12AD">
              <w:rPr>
                <w:rFonts w:ascii="Verdana" w:hAnsi="Verdana" w:cs="Arial"/>
                <w:i/>
                <w:iCs/>
                <w:lang w:val="en-US"/>
              </w:rPr>
              <w:t>United States Bankruptcy Code</w:t>
            </w:r>
            <w:r w:rsidRPr="00BE12AD">
              <w:rPr>
                <w:rFonts w:ascii="Verdana" w:hAnsi="Verdana" w:cs="Arial"/>
                <w:lang w:val="en-US"/>
              </w:rPr>
              <w:t xml:space="preserve"> ("</w:t>
            </w:r>
            <w:r w:rsidRPr="00BE12AD">
              <w:rPr>
                <w:rFonts w:ascii="Verdana" w:hAnsi="Verdana" w:cs="Arial"/>
                <w:b/>
                <w:bCs/>
                <w:lang w:val="en-US"/>
              </w:rPr>
              <w:t>Restructuring</w:t>
            </w:r>
            <w:r w:rsidRPr="00BE12AD">
              <w:rPr>
                <w:rFonts w:ascii="Verdana" w:hAnsi="Verdana" w:cs="Arial"/>
                <w:lang w:val="en-US"/>
              </w:rPr>
              <w:t>"), with the objective of raising new funds and also allowing the capitalization of credits arising from the DIP (</w:t>
            </w:r>
            <w:r w:rsidRPr="00BE12AD">
              <w:rPr>
                <w:rFonts w:ascii="Verdana" w:hAnsi="Verdana" w:cs="Arial"/>
                <w:i/>
                <w:iCs/>
                <w:lang w:val="en-US"/>
              </w:rPr>
              <w:t>Debtor in Possession</w:t>
            </w:r>
            <w:r w:rsidRPr="00BE12AD">
              <w:rPr>
                <w:rFonts w:ascii="Verdana" w:hAnsi="Verdana" w:cs="Arial"/>
                <w:lang w:val="en-US"/>
              </w:rPr>
              <w:t>, "</w:t>
            </w:r>
            <w:r w:rsidRPr="00BE12AD">
              <w:rPr>
                <w:rFonts w:ascii="Verdana" w:hAnsi="Verdana" w:cs="Arial"/>
                <w:b/>
                <w:bCs/>
                <w:lang w:val="en-US"/>
              </w:rPr>
              <w:t>DIP</w:t>
            </w:r>
            <w:r w:rsidRPr="00BE12AD">
              <w:rPr>
                <w:rFonts w:ascii="Verdana" w:hAnsi="Verdana" w:cs="Arial"/>
                <w:lang w:val="en-US"/>
              </w:rPr>
              <w:t>") financing") granted in the context of said Restructuring process, in both cases to support the implementation of the plan approved under the Restructuring ("</w:t>
            </w:r>
            <w:r w:rsidRPr="00BE12AD">
              <w:rPr>
                <w:rFonts w:ascii="Verdana" w:hAnsi="Verdana" w:cs="Arial"/>
                <w:b/>
                <w:bCs/>
                <w:lang w:val="en-US"/>
              </w:rPr>
              <w:t>Plan</w:t>
            </w:r>
            <w:r w:rsidRPr="00BE12AD">
              <w:rPr>
                <w:rFonts w:ascii="Verdana" w:hAnsi="Verdana" w:cs="Arial"/>
                <w:lang w:val="en-US"/>
              </w:rPr>
              <w:t>"). The Company has entered into investment commitments (together, the "</w:t>
            </w:r>
            <w:r w:rsidRPr="00BE12AD">
              <w:rPr>
                <w:rFonts w:ascii="Verdana" w:hAnsi="Verdana" w:cs="Arial"/>
                <w:b/>
                <w:bCs/>
                <w:lang w:val="en-US"/>
              </w:rPr>
              <w:t>Investment Commitments</w:t>
            </w:r>
            <w:r w:rsidRPr="00BE12AD">
              <w:rPr>
                <w:rFonts w:ascii="Verdana" w:hAnsi="Verdana" w:cs="Arial"/>
                <w:lang w:val="en-US"/>
              </w:rPr>
              <w:t>") to ensure the feasibility and completion of the funding, including: (i) the "</w:t>
            </w:r>
            <w:r w:rsidRPr="00BE12AD">
              <w:rPr>
                <w:rFonts w:ascii="Verdana" w:hAnsi="Verdana" w:cs="Arial"/>
                <w:i/>
                <w:iCs/>
                <w:lang w:val="en-US"/>
              </w:rPr>
              <w:t>Backstop Commitment Agreement</w:t>
            </w:r>
            <w:r w:rsidRPr="00BE12AD">
              <w:rPr>
                <w:rFonts w:ascii="Verdana" w:hAnsi="Verdana" w:cs="Arial"/>
                <w:lang w:val="en-US"/>
              </w:rPr>
              <w:t>", dated July 31, 2025, entered into between the Company, the other debtors referred to therein and the committed investors indicated therein ("</w:t>
            </w:r>
            <w:r w:rsidRPr="00BE12AD">
              <w:rPr>
                <w:rFonts w:ascii="Verdana" w:hAnsi="Verdana" w:cs="Arial"/>
                <w:b/>
                <w:bCs/>
                <w:lang w:val="en-US"/>
              </w:rPr>
              <w:t xml:space="preserve">Committing </w:t>
            </w:r>
            <w:r w:rsidRPr="00BE12AD">
              <w:rPr>
                <w:rFonts w:ascii="Verdana" w:hAnsi="Verdana" w:cs="Arial"/>
                <w:lang w:val="en-US"/>
              </w:rPr>
              <w:t>Investors”); and (ii) the investment commitment between the Company and United Airlines, Inc. ("</w:t>
            </w:r>
            <w:r w:rsidRPr="00BE12AD">
              <w:rPr>
                <w:rFonts w:ascii="Verdana" w:hAnsi="Verdana" w:cs="Arial"/>
                <w:b/>
                <w:bCs/>
                <w:lang w:val="en-US"/>
              </w:rPr>
              <w:t>United</w:t>
            </w:r>
            <w:r w:rsidRPr="00BE12AD">
              <w:rPr>
                <w:rFonts w:ascii="Verdana" w:hAnsi="Verdana" w:cs="Arial"/>
                <w:lang w:val="en-US"/>
              </w:rPr>
              <w:t>"). Under these agreements, subject to the fulfillment (or waiver, as the case may be) of the conditions set forth therein, (a) United has committed to subscribe for Shares in connection with the Offering, in the total amount of US$100,000,000.00, subject to obtaining, by the end of the Allocation Procedure (as defined below), approval from the Administrative Council for Economic Defense ("</w:t>
            </w:r>
            <w:r w:rsidRPr="00BE12AD">
              <w:rPr>
                <w:rFonts w:ascii="Verdana" w:hAnsi="Verdana" w:cs="Arial"/>
                <w:b/>
                <w:bCs/>
                <w:lang w:val="en-US"/>
              </w:rPr>
              <w:t>CADE</w:t>
            </w:r>
            <w:r w:rsidRPr="00BE12AD">
              <w:rPr>
                <w:rFonts w:ascii="Verdana" w:hAnsi="Verdana" w:cs="Arial"/>
                <w:lang w:val="en-US"/>
              </w:rPr>
              <w:t xml:space="preserve">")."), subject to the provisions of the respective agreement; and (b) the Committing Investors have assumed, individually and not jointly and severally, the commitment to subscribe for Shares in the total net amount of up to US$750,750,000.00, with a potential increase of US$101,500,000.00 by certain Committing Investors, as detailed below, to the extent that, at the end of the Allocation Procedure, the Shares are not subscribed by </w:t>
            </w:r>
            <w:r w:rsidRPr="00BE12AD">
              <w:rPr>
                <w:rFonts w:ascii="Verdana" w:hAnsi="Verdana" w:cs="Arial"/>
                <w:lang w:val="en-US"/>
              </w:rPr>
              <w:lastRenderedPageBreak/>
              <w:t>other investors in the context of the Offering,  including through the Priority Offer</w:t>
            </w:r>
            <w:r w:rsidR="00CC7B53">
              <w:rPr>
                <w:rFonts w:ascii="Verdana" w:hAnsi="Verdana" w:cs="Arial"/>
                <w:lang w:val="en-US"/>
              </w:rPr>
              <w:t>.</w:t>
            </w:r>
          </w:p>
          <w:p w14:paraId="2BB96CDB" w14:textId="77777777" w:rsidR="00C22797" w:rsidRDefault="00C22797" w:rsidP="00265CEB">
            <w:pPr>
              <w:pStyle w:val="Corpodetexto"/>
              <w:tabs>
                <w:tab w:val="left" w:pos="0"/>
                <w:tab w:val="left" w:pos="817"/>
              </w:tabs>
              <w:spacing w:line="320" w:lineRule="exact"/>
              <w:jc w:val="both"/>
              <w:rPr>
                <w:rFonts w:ascii="Verdana" w:hAnsi="Verdana" w:cs="Arial"/>
                <w:lang w:val="en-US"/>
              </w:rPr>
            </w:pPr>
          </w:p>
          <w:p w14:paraId="6152B521" w14:textId="09D91838" w:rsidR="00CC7B53" w:rsidRPr="00BE12AD" w:rsidRDefault="00BE12AD" w:rsidP="00265CEB">
            <w:pPr>
              <w:pStyle w:val="Corpodetexto"/>
              <w:tabs>
                <w:tab w:val="left" w:pos="0"/>
                <w:tab w:val="left" w:pos="817"/>
              </w:tabs>
              <w:spacing w:line="320" w:lineRule="exact"/>
              <w:jc w:val="both"/>
              <w:rPr>
                <w:rFonts w:ascii="Verdana" w:hAnsi="Verdana" w:cs="Arial"/>
                <w:lang w:val="en-US"/>
              </w:rPr>
            </w:pPr>
            <w:r w:rsidRPr="00BE12AD">
              <w:rPr>
                <w:rFonts w:ascii="Verdana" w:hAnsi="Verdana" w:cs="Arial"/>
                <w:lang w:val="en-US"/>
              </w:rPr>
              <w:t>Pursuant to the Plan, the Shares may also be subscribed by holders ("</w:t>
            </w:r>
            <w:r w:rsidRPr="00BE12AD">
              <w:rPr>
                <w:rFonts w:ascii="Verdana" w:hAnsi="Verdana" w:cs="Arial"/>
                <w:b/>
                <w:bCs/>
                <w:lang w:val="en-US"/>
              </w:rPr>
              <w:t>Holders of 1L and 2L Notes</w:t>
            </w:r>
            <w:r w:rsidRPr="00BE12AD">
              <w:rPr>
                <w:rFonts w:ascii="Verdana" w:hAnsi="Verdana" w:cs="Arial"/>
                <w:lang w:val="en-US"/>
              </w:rPr>
              <w:t xml:space="preserve">") of </w:t>
            </w:r>
            <w:r w:rsidRPr="00BE12AD">
              <w:rPr>
                <w:rFonts w:ascii="Verdana" w:hAnsi="Verdana" w:cs="Arial"/>
                <w:i/>
                <w:iCs/>
                <w:lang w:val="en-US"/>
              </w:rPr>
              <w:t xml:space="preserve"> 11.930% Senior</w:t>
            </w:r>
            <w:r w:rsidRPr="00BE12AD">
              <w:rPr>
                <w:rFonts w:ascii="Verdana" w:hAnsi="Verdana" w:cs="Arial"/>
                <w:lang w:val="en-US"/>
              </w:rPr>
              <w:t xml:space="preserve"> Notes due  2028 ("</w:t>
            </w:r>
            <w:r w:rsidRPr="00BE12AD">
              <w:rPr>
                <w:rFonts w:ascii="Verdana" w:hAnsi="Verdana" w:cs="Arial"/>
                <w:b/>
                <w:bCs/>
                <w:lang w:val="en-US"/>
              </w:rPr>
              <w:t>1L Notes</w:t>
            </w:r>
            <w:r w:rsidRPr="00BE12AD">
              <w:rPr>
                <w:rFonts w:ascii="Verdana" w:hAnsi="Verdana" w:cs="Arial"/>
                <w:lang w:val="en-US"/>
              </w:rPr>
              <w:t xml:space="preserve">") and </w:t>
            </w:r>
            <w:r w:rsidRPr="00BE12AD">
              <w:rPr>
                <w:rFonts w:ascii="Verdana" w:hAnsi="Verdana" w:cs="Arial"/>
                <w:i/>
                <w:iCs/>
                <w:lang w:val="en-US"/>
              </w:rPr>
              <w:t xml:space="preserve"> 11.500% Senior Notes due 2029 and 10.875% due 2030 ("</w:t>
            </w:r>
            <w:r w:rsidRPr="00BE12AD">
              <w:rPr>
                <w:rFonts w:ascii="Verdana" w:hAnsi="Verdana" w:cs="Arial"/>
                <w:b/>
                <w:bCs/>
                <w:lang w:val="en-US"/>
              </w:rPr>
              <w:t>2L Notes</w:t>
            </w:r>
            <w:r w:rsidRPr="00BE12AD">
              <w:rPr>
                <w:rFonts w:ascii="Verdana" w:hAnsi="Verdana" w:cs="Arial"/>
                <w:lang w:val="en-US"/>
              </w:rPr>
              <w:t>" and, together with the 1L Notes,  "</w:t>
            </w:r>
            <w:r w:rsidRPr="00BE12AD">
              <w:rPr>
                <w:rFonts w:ascii="Verdana" w:hAnsi="Verdana" w:cs="Arial"/>
                <w:b/>
                <w:bCs/>
                <w:lang w:val="en-US"/>
              </w:rPr>
              <w:t>Notes</w:t>
            </w:r>
            <w:r w:rsidRPr="00BE12AD">
              <w:rPr>
                <w:rFonts w:ascii="Verdana" w:hAnsi="Verdana" w:cs="Arial"/>
                <w:lang w:val="en-US"/>
              </w:rPr>
              <w:t>"), issued by Azul Secured Finance LLP, whose respective credits were capitalized through the Company's public offering closed on January 13, 2026 ("</w:t>
            </w:r>
            <w:r w:rsidRPr="00BE12AD">
              <w:rPr>
                <w:rFonts w:ascii="Verdana" w:hAnsi="Verdana" w:cs="Arial"/>
                <w:b/>
                <w:bCs/>
                <w:lang w:val="en-US"/>
              </w:rPr>
              <w:t>Equity Offer</w:t>
            </w:r>
            <w:r w:rsidRPr="00BE12AD">
              <w:rPr>
                <w:rFonts w:ascii="Verdana" w:hAnsi="Verdana" w:cs="Arial"/>
                <w:lang w:val="en-US"/>
              </w:rPr>
              <w:t xml:space="preserve">") and which, therefore, now have the Company's shares as their underlying asset, after the delivery of the Notes they hold through the </w:t>
            </w:r>
            <w:r w:rsidRPr="00BE12AD">
              <w:rPr>
                <w:rFonts w:ascii="Verdana" w:hAnsi="Verdana" w:cs="Arial"/>
                <w:i/>
                <w:iCs/>
                <w:lang w:val="en-US"/>
              </w:rPr>
              <w:t>Depositary Trust Company's</w:t>
            </w:r>
            <w:r w:rsidRPr="00BE12AD">
              <w:rPr>
                <w:rFonts w:ascii="Verdana" w:hAnsi="Verdana" w:cs="Arial"/>
                <w:lang w:val="en-US"/>
              </w:rPr>
              <w:t xml:space="preserve"> ("</w:t>
            </w:r>
            <w:r w:rsidRPr="00BE12AD">
              <w:rPr>
                <w:rFonts w:ascii="Verdana" w:hAnsi="Verdana" w:cs="Arial"/>
                <w:b/>
                <w:bCs/>
                <w:lang w:val="en-US"/>
              </w:rPr>
              <w:t>DTC</w:t>
            </w:r>
            <w:r w:rsidRPr="00BE12AD">
              <w:rPr>
                <w:rFonts w:ascii="Verdana" w:hAnsi="Verdana" w:cs="Arial"/>
                <w:lang w:val="en-US"/>
              </w:rPr>
              <w:t xml:space="preserve">") </w:t>
            </w:r>
            <w:r w:rsidRPr="00BE12AD">
              <w:rPr>
                <w:rFonts w:ascii="Verdana" w:hAnsi="Verdana" w:cs="Arial"/>
                <w:i/>
                <w:iCs/>
                <w:lang w:val="en-US"/>
              </w:rPr>
              <w:t>Automated Tender Offer Program</w:t>
            </w:r>
            <w:r w:rsidRPr="00BE12AD">
              <w:rPr>
                <w:rFonts w:ascii="Verdana" w:hAnsi="Verdana" w:cs="Arial"/>
                <w:lang w:val="en-US"/>
              </w:rPr>
              <w:t xml:space="preserve"> ("</w:t>
            </w:r>
            <w:r w:rsidRPr="00BE12AD">
              <w:rPr>
                <w:rFonts w:ascii="Verdana" w:hAnsi="Verdana" w:cs="Arial"/>
                <w:b/>
                <w:bCs/>
                <w:lang w:val="en-US"/>
              </w:rPr>
              <w:t>ATOP</w:t>
            </w:r>
            <w:r w:rsidRPr="00BE12AD">
              <w:rPr>
                <w:rFonts w:ascii="Verdana" w:hAnsi="Verdana" w:cs="Arial"/>
                <w:lang w:val="en-US"/>
              </w:rPr>
              <w:t xml:space="preserve">") and upon payment of the Price per Share. In addition, the Holders of the 1L and 2L Notes  </w:t>
            </w:r>
            <w:r w:rsidRPr="00BE12AD">
              <w:rPr>
                <w:rFonts w:ascii="Verdana" w:hAnsi="Verdana" w:cs="Arial"/>
                <w:i/>
                <w:iCs/>
                <w:lang w:val="en-US"/>
              </w:rPr>
              <w:t xml:space="preserve">holding the 15,000% Senior Secured Notes, due 2026, issued as </w:t>
            </w:r>
            <w:r w:rsidRPr="00BE12AD">
              <w:rPr>
                <w:rFonts w:ascii="Verdana" w:hAnsi="Verdana" w:cs="Arial"/>
                <w:lang w:val="en-US"/>
              </w:rPr>
              <w:t>DIP financing  in the context of the Restructuring ("</w:t>
            </w:r>
            <w:r w:rsidRPr="00BE12AD">
              <w:rPr>
                <w:rFonts w:ascii="Verdana" w:hAnsi="Verdana"/>
                <w:b/>
                <w:bCs/>
                <w:lang w:val="en-US"/>
              </w:rPr>
              <w:t>DIP Notes</w:t>
            </w:r>
            <w:r w:rsidRPr="00BE12AD">
              <w:rPr>
                <w:rFonts w:ascii="Verdana" w:hAnsi="Verdana" w:cs="Arial"/>
                <w:lang w:val="en-US"/>
              </w:rPr>
              <w:t>") may participate in the Institutional Offering and pay up the Shares in currency or with existing credits derived from the DIP Notes against the Company</w:t>
            </w:r>
            <w:r w:rsidR="00CC7B53" w:rsidRPr="00BE12AD">
              <w:rPr>
                <w:rFonts w:ascii="Verdana" w:hAnsi="Verdana" w:cs="Arial"/>
                <w:lang w:val="en-US"/>
              </w:rPr>
              <w:t>.</w:t>
            </w:r>
          </w:p>
        </w:tc>
      </w:tr>
      <w:tr w:rsidR="00CC7B53" w:rsidRPr="00016DC5" w14:paraId="649700A0" w14:textId="77777777" w:rsidTr="00BE12AD">
        <w:trPr>
          <w:trHeight w:val="20"/>
          <w:jc w:val="center"/>
        </w:trPr>
        <w:tc>
          <w:tcPr>
            <w:tcW w:w="5382" w:type="dxa"/>
          </w:tcPr>
          <w:p w14:paraId="28B908DF" w14:textId="77777777" w:rsidR="00CC7B53" w:rsidRPr="005520B3" w:rsidRDefault="00CC7B53" w:rsidP="00B910E6">
            <w:pPr>
              <w:pStyle w:val="Corpodetexto"/>
              <w:tabs>
                <w:tab w:val="left" w:pos="0"/>
                <w:tab w:val="left" w:pos="817"/>
              </w:tabs>
              <w:spacing w:line="320" w:lineRule="exact"/>
              <w:jc w:val="both"/>
              <w:rPr>
                <w:rFonts w:ascii="Verdana" w:hAnsi="Verdana" w:cs="Arial"/>
                <w:bCs/>
                <w:lang w:val="en-US"/>
              </w:rPr>
            </w:pPr>
          </w:p>
        </w:tc>
        <w:tc>
          <w:tcPr>
            <w:tcW w:w="5168" w:type="dxa"/>
          </w:tcPr>
          <w:p w14:paraId="5D96285B" w14:textId="77777777" w:rsidR="00CC7B53" w:rsidRPr="00CC7B53" w:rsidRDefault="00CC7B53" w:rsidP="006A49F4">
            <w:pPr>
              <w:pStyle w:val="Corpodetexto"/>
              <w:tabs>
                <w:tab w:val="left" w:pos="0"/>
                <w:tab w:val="left" w:pos="817"/>
              </w:tabs>
              <w:spacing w:line="320" w:lineRule="exact"/>
              <w:jc w:val="both"/>
              <w:rPr>
                <w:rFonts w:ascii="Verdana" w:hAnsi="Verdana" w:cs="Arial"/>
                <w:lang w:val="en-US"/>
              </w:rPr>
            </w:pPr>
          </w:p>
        </w:tc>
      </w:tr>
      <w:tr w:rsidR="00CC7B53" w:rsidRPr="00016DC5" w14:paraId="276715E4" w14:textId="77777777" w:rsidTr="00BE12AD">
        <w:trPr>
          <w:trHeight w:val="20"/>
          <w:jc w:val="center"/>
        </w:trPr>
        <w:tc>
          <w:tcPr>
            <w:tcW w:w="5382" w:type="dxa"/>
          </w:tcPr>
          <w:p w14:paraId="32084FC7" w14:textId="500FF5B1" w:rsidR="00CC7B53" w:rsidRPr="005520B3" w:rsidRDefault="00BE12AD" w:rsidP="00B910E6">
            <w:pPr>
              <w:pStyle w:val="Corpodetexto"/>
              <w:tabs>
                <w:tab w:val="left" w:pos="0"/>
                <w:tab w:val="left" w:pos="817"/>
              </w:tabs>
              <w:spacing w:line="320" w:lineRule="exact"/>
              <w:jc w:val="both"/>
              <w:rPr>
                <w:rFonts w:ascii="Verdana" w:hAnsi="Verdana" w:cs="Arial"/>
                <w:bCs/>
              </w:rPr>
            </w:pPr>
            <w:r w:rsidRPr="00BE12AD">
              <w:rPr>
                <w:rFonts w:ascii="Verdana" w:hAnsi="Verdana" w:cs="Arial"/>
                <w:b/>
              </w:rPr>
              <w:t xml:space="preserve">Os Pedidos de Subscrição Prioritária, a serem realizados pelos Acionistas no âmbito da Oferta Prioritária, deverão ser formulados exclusivamente em Cestas de Ações. Assim, para o exercício do Direito de Prioridade, cada Acionista deverá apresentar um Pedido de Subscrição Prioritária correspondente, no mínimo, a uma unidade integral de Cesta de Ações. Para todos os fins e efeitos, eventuais quantidades fracionárias de Cestas de Ações serão automaticamente arredondadas para baixo no Procedimento de Alocação. Nesse contexto, cada Acionista que exercer o seu Direito de Prioridade deverá indicar, em cada Pedido de Subscrição Prioritária, a quantidade de Cestas de Ações que deseja subscrever, observado o respectivo Limite de Subscrição Proporcional (conforme abaixo definido) e a possibilidade de </w:t>
            </w:r>
            <w:r w:rsidRPr="00BE12AD">
              <w:rPr>
                <w:rFonts w:ascii="Verdana" w:hAnsi="Verdana" w:cs="Arial"/>
                <w:b/>
              </w:rPr>
              <w:lastRenderedPageBreak/>
              <w:t>distribuição parcial. A quantidade de Cestas de Ações a que cada Acionista fará jus no âmbito da Oferta Prioritária corresponderá ao Limite de Subscrição Proporcional multiplicado pela posição acionária detida por cada Acionista na Segunda Data de Corte, dividido pela quantidade de Ações que compõe cada Cesta de Ações, sendo que qualquer resultado fracionário será arredondado para baixo para o número inteiro imediatamente inferior que represente uma Cesta de Ações completa</w:t>
            </w:r>
            <w:r w:rsidR="00667CEC" w:rsidRPr="0050183C">
              <w:rPr>
                <w:rFonts w:ascii="Verdana" w:hAnsi="Verdana" w:cs="Arial"/>
                <w:b/>
              </w:rPr>
              <w:t>.</w:t>
            </w:r>
          </w:p>
        </w:tc>
        <w:tc>
          <w:tcPr>
            <w:tcW w:w="5168" w:type="dxa"/>
          </w:tcPr>
          <w:p w14:paraId="03E94775" w14:textId="0F51650A" w:rsidR="00CC7B53" w:rsidRPr="00230CAA" w:rsidRDefault="00230CAA" w:rsidP="000C681D">
            <w:pPr>
              <w:pStyle w:val="Corpodetexto"/>
              <w:tabs>
                <w:tab w:val="left" w:pos="0"/>
                <w:tab w:val="left" w:pos="817"/>
              </w:tabs>
              <w:spacing w:line="320" w:lineRule="exact"/>
              <w:jc w:val="both"/>
              <w:rPr>
                <w:rFonts w:ascii="Verdana" w:hAnsi="Verdana" w:cs="Arial"/>
                <w:lang w:val="en-US"/>
              </w:rPr>
            </w:pPr>
            <w:r w:rsidRPr="00230CAA">
              <w:rPr>
                <w:rFonts w:ascii="Verdana" w:hAnsi="Verdana" w:cs="Arial"/>
                <w:b/>
                <w:lang w:val="en-US"/>
              </w:rPr>
              <w:lastRenderedPageBreak/>
              <w:t xml:space="preserve">The Priority Subscription </w:t>
            </w:r>
            <w:r>
              <w:rPr>
                <w:rFonts w:ascii="Verdana" w:hAnsi="Verdana" w:cs="Arial"/>
                <w:b/>
                <w:lang w:val="en-US"/>
              </w:rPr>
              <w:t>Orders</w:t>
            </w:r>
            <w:r w:rsidRPr="00230CAA">
              <w:rPr>
                <w:rFonts w:ascii="Verdana" w:hAnsi="Verdana" w:cs="Arial"/>
                <w:b/>
                <w:lang w:val="en-US"/>
              </w:rPr>
              <w:t xml:space="preserve">, to be made by the Shareholders within the scope of the Priority Offer, must be formulated exclusively in Stock Baskets. Thus, in order to exercise the Right of Priority, each Shareholder must submit a Priority Subscription </w:t>
            </w:r>
            <w:r>
              <w:rPr>
                <w:rFonts w:ascii="Verdana" w:hAnsi="Verdana" w:cs="Arial"/>
                <w:b/>
                <w:lang w:val="en-US"/>
              </w:rPr>
              <w:t>Order</w:t>
            </w:r>
            <w:r w:rsidRPr="00230CAA">
              <w:rPr>
                <w:rFonts w:ascii="Verdana" w:hAnsi="Verdana" w:cs="Arial"/>
                <w:b/>
                <w:lang w:val="en-US"/>
              </w:rPr>
              <w:t xml:space="preserve"> corresponding to at least one full unit of Basket of Shares. For all intents and purposes, any fractional amounts of Baskets of Shares will be automatically rounded down in the Allocation Procedure. In this context, each Shareholder exercising its Priority Right must indicate, in each Priority Subscription </w:t>
            </w:r>
            <w:r>
              <w:rPr>
                <w:rFonts w:ascii="Verdana" w:hAnsi="Verdana" w:cs="Arial"/>
                <w:b/>
                <w:lang w:val="en-US"/>
              </w:rPr>
              <w:t>Order</w:t>
            </w:r>
            <w:r w:rsidRPr="00230CAA">
              <w:rPr>
                <w:rFonts w:ascii="Verdana" w:hAnsi="Verdana" w:cs="Arial"/>
                <w:b/>
                <w:lang w:val="en-US"/>
              </w:rPr>
              <w:t xml:space="preserve">, the number of Baskets of Shares it wishes to subscribe to, subject to the respective Proportional Subscription Limit (as defined below) and the possibility of partial distribution. The number of Baskets of Shares to which each </w:t>
            </w:r>
            <w:r w:rsidRPr="00230CAA">
              <w:rPr>
                <w:rFonts w:ascii="Verdana" w:hAnsi="Verdana" w:cs="Arial"/>
                <w:b/>
                <w:lang w:val="en-US"/>
              </w:rPr>
              <w:lastRenderedPageBreak/>
              <w:t>Shareholder will be entitled under the Priority Offer will correspond to the Proportional Subscription Limit multiplied by the shareholding position held by each Shareholder on the Second Cut-Off Date, divided by the number of Shares that make up each Basket of Shares, and any fractional result will be rounded down to the next lower whole number that represents a complete Basket of Shares</w:t>
            </w:r>
            <w:r w:rsidR="000C681D" w:rsidRPr="00230CAA">
              <w:rPr>
                <w:rFonts w:ascii="Verdana" w:hAnsi="Verdana" w:cs="Arial"/>
                <w:b/>
                <w:lang w:val="en-US"/>
              </w:rPr>
              <w:t>.</w:t>
            </w:r>
          </w:p>
        </w:tc>
      </w:tr>
      <w:tr w:rsidR="00CC1D86" w:rsidRPr="00016DC5" w14:paraId="4324E908" w14:textId="77777777" w:rsidTr="00BE12AD">
        <w:trPr>
          <w:trHeight w:val="20"/>
          <w:jc w:val="center"/>
        </w:trPr>
        <w:tc>
          <w:tcPr>
            <w:tcW w:w="5382" w:type="dxa"/>
          </w:tcPr>
          <w:p w14:paraId="1E1BF1EF" w14:textId="77777777" w:rsidR="00CC1D86" w:rsidRPr="005520B3" w:rsidRDefault="00CC1D86" w:rsidP="00B910E6">
            <w:pPr>
              <w:pStyle w:val="Corpodetexto"/>
              <w:tabs>
                <w:tab w:val="left" w:pos="0"/>
                <w:tab w:val="left" w:pos="817"/>
              </w:tabs>
              <w:spacing w:line="320" w:lineRule="exact"/>
              <w:jc w:val="both"/>
              <w:rPr>
                <w:rFonts w:ascii="Verdana" w:hAnsi="Verdana" w:cs="Arial"/>
                <w:bCs/>
                <w:lang w:val="en-US"/>
              </w:rPr>
            </w:pPr>
          </w:p>
        </w:tc>
        <w:tc>
          <w:tcPr>
            <w:tcW w:w="5168" w:type="dxa"/>
          </w:tcPr>
          <w:p w14:paraId="311D1114" w14:textId="77777777" w:rsidR="00CC1D86" w:rsidRPr="00CC7B53" w:rsidRDefault="00CC1D86" w:rsidP="006A49F4">
            <w:pPr>
              <w:pStyle w:val="Corpodetexto"/>
              <w:tabs>
                <w:tab w:val="left" w:pos="0"/>
                <w:tab w:val="left" w:pos="817"/>
              </w:tabs>
              <w:spacing w:line="320" w:lineRule="exact"/>
              <w:jc w:val="both"/>
              <w:rPr>
                <w:rFonts w:ascii="Verdana" w:hAnsi="Verdana" w:cs="Arial"/>
                <w:lang w:val="en-US"/>
              </w:rPr>
            </w:pPr>
          </w:p>
        </w:tc>
      </w:tr>
      <w:tr w:rsidR="005E1318" w:rsidRPr="00016DC5" w14:paraId="0B0F497A" w14:textId="77777777" w:rsidTr="00BE12AD">
        <w:trPr>
          <w:trHeight w:val="20"/>
          <w:jc w:val="center"/>
        </w:trPr>
        <w:tc>
          <w:tcPr>
            <w:tcW w:w="5382" w:type="dxa"/>
          </w:tcPr>
          <w:p w14:paraId="090CC53C" w14:textId="75323199" w:rsidR="00C04071" w:rsidRPr="00337F1E" w:rsidRDefault="00F56E68" w:rsidP="007D3F32">
            <w:pPr>
              <w:pStyle w:val="Corpodetexto"/>
              <w:tabs>
                <w:tab w:val="left" w:pos="0"/>
                <w:tab w:val="left" w:pos="817"/>
              </w:tabs>
              <w:spacing w:line="320" w:lineRule="exact"/>
              <w:jc w:val="both"/>
              <w:rPr>
                <w:rFonts w:ascii="Verdana" w:hAnsi="Verdana" w:cs="Arial"/>
                <w:bCs/>
              </w:rPr>
            </w:pPr>
            <w:r w:rsidRPr="00337F1E">
              <w:rPr>
                <w:rFonts w:ascii="Verdana" w:hAnsi="Verdana" w:cs="Arial"/>
              </w:rPr>
              <w:t>No âmbito da Oferta Prioritária, deverão ser subscritas e integralizadas cestas de Ações, cada uma composta por 129.592.500 Ações (“</w:t>
            </w:r>
            <w:r w:rsidRPr="00337F1E">
              <w:rPr>
                <w:rFonts w:ascii="Verdana" w:hAnsi="Verdana" w:cs="Arial"/>
                <w:b/>
                <w:bCs/>
              </w:rPr>
              <w:t>Cestas de Ações</w:t>
            </w:r>
            <w:r w:rsidRPr="00337F1E">
              <w:rPr>
                <w:rFonts w:ascii="Verdana" w:hAnsi="Verdana" w:cs="Arial"/>
              </w:rPr>
              <w:t>”), não sendo aceitos, na Oferta Prioritária, quaisquer Pedidos de Subscrição Prioritária (conforme definido abaixo) de Ações que não observem essa condição, isto é, que não representem pelo menos um múltiplo inteiro de Cestas de Ações. Assim, na Oferta Prioritária, somente serão considerados válidos os Pedidos de Subscrição Prioritária que compreendam Ações representativas de pelo menos um múltiplo inteiro de Cestas de Ações, conforme estabelecido no âmbito da presente Oferta</w:t>
            </w:r>
            <w:r w:rsidR="00080A4A" w:rsidRPr="00337F1E">
              <w:rPr>
                <w:rFonts w:ascii="Verdana" w:hAnsi="Verdana" w:cs="Arial"/>
              </w:rPr>
              <w:t>.</w:t>
            </w:r>
          </w:p>
          <w:p w14:paraId="1C2A22A2" w14:textId="2D751C1B" w:rsidR="00803D96" w:rsidRPr="00337F1E" w:rsidRDefault="00803D96" w:rsidP="00C07A1B">
            <w:pPr>
              <w:pStyle w:val="Corpodetexto"/>
              <w:tabs>
                <w:tab w:val="left" w:pos="0"/>
                <w:tab w:val="left" w:pos="817"/>
              </w:tabs>
              <w:spacing w:line="320" w:lineRule="exact"/>
              <w:jc w:val="both"/>
              <w:rPr>
                <w:rFonts w:ascii="Verdana" w:hAnsi="Verdana" w:cs="Arial"/>
                <w:bCs/>
              </w:rPr>
            </w:pPr>
          </w:p>
        </w:tc>
        <w:tc>
          <w:tcPr>
            <w:tcW w:w="5168" w:type="dxa"/>
          </w:tcPr>
          <w:p w14:paraId="278E6460" w14:textId="7E07492E" w:rsidR="00B01DE7" w:rsidRPr="00337F1E" w:rsidRDefault="00337F1E" w:rsidP="005520B3">
            <w:pPr>
              <w:spacing w:line="320" w:lineRule="exact"/>
              <w:jc w:val="both"/>
              <w:rPr>
                <w:rFonts w:ascii="Verdana" w:hAnsi="Verdana" w:cs="Arial"/>
                <w:bCs/>
                <w:sz w:val="18"/>
                <w:szCs w:val="18"/>
                <w:lang w:val="en-US"/>
              </w:rPr>
            </w:pPr>
            <w:r w:rsidRPr="00337F1E">
              <w:rPr>
                <w:rFonts w:ascii="Verdana" w:hAnsi="Verdana" w:cs="Arial"/>
                <w:sz w:val="18"/>
                <w:szCs w:val="18"/>
                <w:lang w:val="en-US"/>
              </w:rPr>
              <w:t>Within the scope of the Priority Offer, baskets of Shares must be subscribed and paid in, each consisting of 129,592,500 Shares ("</w:t>
            </w:r>
            <w:r w:rsidRPr="00337F1E">
              <w:rPr>
                <w:rFonts w:ascii="Verdana" w:hAnsi="Verdana" w:cs="Arial"/>
                <w:b/>
                <w:bCs/>
                <w:sz w:val="18"/>
                <w:szCs w:val="18"/>
                <w:lang w:val="en-US"/>
              </w:rPr>
              <w:t>Baskets of Shares</w:t>
            </w:r>
            <w:r w:rsidRPr="00337F1E">
              <w:rPr>
                <w:rFonts w:ascii="Verdana" w:hAnsi="Verdana" w:cs="Arial"/>
                <w:sz w:val="18"/>
                <w:szCs w:val="18"/>
                <w:lang w:val="en-US"/>
              </w:rPr>
              <w:t>"), and any Priority Subscription Orders (as defined below) of Shares that do not comply with this condition, that is, that do not represent at least an integer multiple of Baskets of Shares, will not be accepted in the Priority Offer. Thus, in the Priority Offer, only Priority Subscription Orders that comprise Shares representing at least one integer multiple of Baskets of Shares, as established within the scope of this Offer, will be considered valid</w:t>
            </w:r>
            <w:r w:rsidR="00B910E6" w:rsidRPr="00337F1E">
              <w:rPr>
                <w:rFonts w:ascii="Verdana" w:hAnsi="Verdana" w:cs="Arial"/>
                <w:bCs/>
                <w:sz w:val="18"/>
                <w:szCs w:val="18"/>
                <w:lang w:val="en-US"/>
              </w:rPr>
              <w:t>.</w:t>
            </w:r>
            <w:r w:rsidR="00CC3891" w:rsidRPr="00337F1E">
              <w:rPr>
                <w:rFonts w:ascii="Verdana" w:hAnsi="Verdana" w:cs="Arial"/>
                <w:bCs/>
                <w:sz w:val="18"/>
                <w:szCs w:val="18"/>
                <w:lang w:val="en-US"/>
              </w:rPr>
              <w:t xml:space="preserve"> </w:t>
            </w:r>
          </w:p>
          <w:p w14:paraId="177F55E7" w14:textId="5E4679CF" w:rsidR="005E1318" w:rsidRPr="00E46578" w:rsidRDefault="005E1318" w:rsidP="00C07A1B">
            <w:pPr>
              <w:pStyle w:val="Corpodetexto"/>
              <w:tabs>
                <w:tab w:val="left" w:pos="0"/>
                <w:tab w:val="left" w:pos="817"/>
              </w:tabs>
              <w:spacing w:line="320" w:lineRule="exact"/>
              <w:jc w:val="both"/>
              <w:rPr>
                <w:rFonts w:ascii="Verdana" w:hAnsi="Verdana" w:cs="Arial"/>
                <w:bCs/>
                <w:lang w:val="en-US"/>
              </w:rPr>
            </w:pPr>
          </w:p>
        </w:tc>
      </w:tr>
      <w:tr w:rsidR="00C07A1B" w:rsidRPr="00016DC5" w14:paraId="3904B2F6" w14:textId="77777777" w:rsidTr="00BE12AD">
        <w:trPr>
          <w:trHeight w:val="20"/>
          <w:jc w:val="center"/>
        </w:trPr>
        <w:tc>
          <w:tcPr>
            <w:tcW w:w="5382" w:type="dxa"/>
          </w:tcPr>
          <w:p w14:paraId="504DCBDC" w14:textId="5875B243" w:rsidR="00DE6A01" w:rsidRPr="007524F1" w:rsidRDefault="007524F1" w:rsidP="00C07A1B">
            <w:pPr>
              <w:pStyle w:val="Corpodetexto"/>
              <w:tabs>
                <w:tab w:val="left" w:pos="0"/>
                <w:tab w:val="left" w:pos="817"/>
              </w:tabs>
              <w:spacing w:line="320" w:lineRule="exact"/>
              <w:jc w:val="both"/>
              <w:rPr>
                <w:rFonts w:ascii="Verdana" w:hAnsi="Verdana" w:cs="Arial"/>
              </w:rPr>
            </w:pPr>
            <w:bookmarkStart w:id="2" w:name="_Hlk216997359"/>
            <w:r w:rsidRPr="007524F1">
              <w:rPr>
                <w:rFonts w:ascii="Verdana" w:hAnsi="Verdana" w:cs="Arial"/>
              </w:rPr>
              <w:t xml:space="preserve">Nos termos previstos no Plano, o preço estimado das Ações a serem emitidas é, nesta data, de </w:t>
            </w:r>
            <w:bookmarkStart w:id="3" w:name="_Hlk216997120"/>
            <w:r w:rsidRPr="007524F1">
              <w:rPr>
                <w:rFonts w:ascii="Verdana" w:hAnsi="Verdana" w:cs="Arial"/>
              </w:rPr>
              <w:t>R$</w:t>
            </w:r>
            <w:r w:rsidRPr="007524F1">
              <w:rPr>
                <w:rFonts w:ascii="Verdana" w:hAnsi="Verdana" w:cs="Arial"/>
                <w:spacing w:val="-2"/>
              </w:rPr>
              <w:t> </w:t>
            </w:r>
            <w:r w:rsidRPr="007524F1">
              <w:rPr>
                <w:rFonts w:ascii="Verdana" w:hAnsi="Verdana" w:cs="Arial"/>
              </w:rPr>
              <w:t>0,00000146906822811461 por Ação, o qual reflete o preço de US$ 0,000000279184383906235</w:t>
            </w:r>
            <w:r w:rsidRPr="007524F1">
              <w:rPr>
                <w:rFonts w:ascii="Verdana" w:hAnsi="Verdana" w:cs="Arial"/>
                <w:bCs/>
              </w:rPr>
              <w:t xml:space="preserve"> por Ação, conforme determinado pelo Plano</w:t>
            </w:r>
            <w:r w:rsidRPr="007524F1">
              <w:rPr>
                <w:rFonts w:ascii="Verdana" w:hAnsi="Verdana" w:cs="Arial"/>
              </w:rPr>
              <w:t xml:space="preserve">, considerando a taxa de câmbio PTAX – venda (R$/US$) apurada pelo BACEN em </w:t>
            </w:r>
            <w:r w:rsidRPr="007524F1">
              <w:rPr>
                <w:rFonts w:ascii="Verdana" w:hAnsi="Verdana" w:cs="Arial"/>
                <w:bCs/>
              </w:rPr>
              <w:t>2</w:t>
            </w:r>
            <w:r w:rsidRPr="007524F1">
              <w:rPr>
                <w:rFonts w:ascii="Verdana" w:hAnsi="Verdana" w:cs="Arial"/>
              </w:rPr>
              <w:t xml:space="preserve"> de </w:t>
            </w:r>
            <w:r w:rsidRPr="007524F1">
              <w:rPr>
                <w:rFonts w:ascii="Verdana" w:hAnsi="Verdana" w:cs="Arial"/>
                <w:bCs/>
              </w:rPr>
              <w:t xml:space="preserve">fevereiro </w:t>
            </w:r>
            <w:r w:rsidRPr="007524F1">
              <w:rPr>
                <w:rFonts w:ascii="Verdana" w:hAnsi="Verdana" w:cs="Arial"/>
              </w:rPr>
              <w:t>de 2026 de R$ </w:t>
            </w:r>
            <w:r w:rsidRPr="007524F1">
              <w:rPr>
                <w:rFonts w:ascii="Verdana" w:hAnsi="Verdana" w:cs="Arial"/>
                <w:bCs/>
              </w:rPr>
              <w:t xml:space="preserve">5,2620 </w:t>
            </w:r>
            <w:r w:rsidRPr="007524F1">
              <w:rPr>
                <w:rFonts w:ascii="Verdana" w:hAnsi="Verdana" w:cs="Arial"/>
              </w:rPr>
              <w:t>para cada US$ 1,00 (“</w:t>
            </w:r>
            <w:r w:rsidRPr="007524F1">
              <w:rPr>
                <w:rFonts w:ascii="Verdana" w:hAnsi="Verdana" w:cs="Arial"/>
                <w:b/>
              </w:rPr>
              <w:t>Preço por Ação</w:t>
            </w:r>
            <w:r w:rsidRPr="007524F1">
              <w:rPr>
                <w:rFonts w:ascii="Verdana" w:hAnsi="Verdana" w:cs="Arial"/>
              </w:rPr>
              <w:t>”)</w:t>
            </w:r>
            <w:bookmarkEnd w:id="2"/>
            <w:bookmarkEnd w:id="3"/>
            <w:r w:rsidR="00C07A1B" w:rsidRPr="007524F1">
              <w:rPr>
                <w:rFonts w:ascii="Verdana" w:hAnsi="Verdana" w:cs="Arial"/>
              </w:rPr>
              <w:t xml:space="preserve">. </w:t>
            </w:r>
          </w:p>
          <w:p w14:paraId="11A5B233" w14:textId="77777777" w:rsidR="00DE6A01" w:rsidRPr="007524F1" w:rsidRDefault="00DE6A01" w:rsidP="00C07A1B">
            <w:pPr>
              <w:pStyle w:val="Corpodetexto"/>
              <w:tabs>
                <w:tab w:val="left" w:pos="0"/>
                <w:tab w:val="left" w:pos="817"/>
              </w:tabs>
              <w:spacing w:line="320" w:lineRule="exact"/>
              <w:jc w:val="both"/>
              <w:rPr>
                <w:rFonts w:ascii="Verdana" w:hAnsi="Verdana" w:cs="Arial"/>
              </w:rPr>
            </w:pPr>
          </w:p>
          <w:p w14:paraId="7E1B8503" w14:textId="401C1771" w:rsidR="00C07A1B" w:rsidRPr="007524F1" w:rsidRDefault="00C07A1B" w:rsidP="00C07A1B">
            <w:pPr>
              <w:pStyle w:val="Corpodetexto"/>
              <w:tabs>
                <w:tab w:val="left" w:pos="0"/>
                <w:tab w:val="left" w:pos="817"/>
              </w:tabs>
              <w:spacing w:line="320" w:lineRule="exact"/>
              <w:jc w:val="both"/>
              <w:rPr>
                <w:rFonts w:ascii="Verdana" w:hAnsi="Verdana" w:cs="Arial"/>
              </w:rPr>
            </w:pPr>
            <w:r w:rsidRPr="007524F1">
              <w:rPr>
                <w:rFonts w:ascii="Verdana" w:hAnsi="Verdana" w:cs="Arial"/>
              </w:rPr>
              <w:t xml:space="preserve">Nesse sentido, </w:t>
            </w:r>
            <w:r w:rsidR="0042051D" w:rsidRPr="007524F1">
              <w:rPr>
                <w:rFonts w:ascii="Verdana" w:hAnsi="Verdana" w:cs="Arial"/>
              </w:rPr>
              <w:t>nesta data</w:t>
            </w:r>
            <w:r w:rsidR="007524F1" w:rsidRPr="007524F1">
              <w:rPr>
                <w:rFonts w:ascii="Verdana" w:hAnsi="Verdana" w:cs="Arial"/>
              </w:rPr>
              <w:t>,</w:t>
            </w:r>
            <w:r w:rsidR="0042051D" w:rsidRPr="007524F1">
              <w:rPr>
                <w:rFonts w:ascii="Verdana" w:hAnsi="Verdana" w:cs="Arial"/>
              </w:rPr>
              <w:t xml:space="preserve"> </w:t>
            </w:r>
            <w:r w:rsidR="007524F1" w:rsidRPr="007524F1">
              <w:rPr>
                <w:rFonts w:ascii="Verdana" w:hAnsi="Verdana" w:cs="Arial"/>
              </w:rPr>
              <w:t>o preço estimado por Cesta de Ações é de R$</w:t>
            </w:r>
            <w:r w:rsidR="007524F1" w:rsidRPr="007524F1">
              <w:rPr>
                <w:rFonts w:ascii="Verdana" w:hAnsi="Verdana" w:cs="Arial"/>
                <w:spacing w:val="-2"/>
              </w:rPr>
              <w:t> </w:t>
            </w:r>
            <w:r w:rsidR="007524F1" w:rsidRPr="007524F1">
              <w:rPr>
                <w:rFonts w:ascii="Verdana" w:hAnsi="Verdana" w:cs="Arial"/>
                <w:bCs/>
              </w:rPr>
              <w:t>190,38</w:t>
            </w:r>
            <w:r w:rsidR="007524F1" w:rsidRPr="007524F1">
              <w:rPr>
                <w:rFonts w:ascii="Verdana" w:hAnsi="Verdana" w:cs="Arial"/>
              </w:rPr>
              <w:t xml:space="preserve">, equivalente ao Preço por Ação multiplicado por </w:t>
            </w:r>
            <w:r w:rsidR="007524F1" w:rsidRPr="007524F1">
              <w:rPr>
                <w:rFonts w:ascii="Verdana" w:hAnsi="Verdana" w:cs="Arial"/>
                <w:bCs/>
              </w:rPr>
              <w:t>129.592.500</w:t>
            </w:r>
            <w:r w:rsidR="007524F1" w:rsidRPr="007524F1">
              <w:rPr>
                <w:rFonts w:ascii="Verdana" w:hAnsi="Verdana" w:cs="Arial"/>
              </w:rPr>
              <w:t xml:space="preserve"> Ações (“</w:t>
            </w:r>
            <w:r w:rsidR="007524F1" w:rsidRPr="007524F1">
              <w:rPr>
                <w:rFonts w:ascii="Verdana" w:hAnsi="Verdana" w:cs="Arial"/>
                <w:b/>
              </w:rPr>
              <w:t>Preço por Cesta de Ações</w:t>
            </w:r>
            <w:r w:rsidR="007524F1" w:rsidRPr="007524F1">
              <w:rPr>
                <w:rFonts w:ascii="Verdana" w:hAnsi="Verdana" w:cs="Arial"/>
              </w:rPr>
              <w:t>”)</w:t>
            </w:r>
            <w:r w:rsidRPr="007524F1">
              <w:rPr>
                <w:rFonts w:ascii="Verdana" w:hAnsi="Verdana" w:cs="Arial"/>
              </w:rPr>
              <w:t>.</w:t>
            </w:r>
          </w:p>
          <w:p w14:paraId="38E0B166" w14:textId="77777777" w:rsidR="00C07A1B" w:rsidRPr="007524F1" w:rsidRDefault="00C07A1B" w:rsidP="007D3F32">
            <w:pPr>
              <w:pStyle w:val="Corpodetexto"/>
              <w:tabs>
                <w:tab w:val="left" w:pos="0"/>
                <w:tab w:val="left" w:pos="817"/>
              </w:tabs>
              <w:spacing w:line="320" w:lineRule="exact"/>
              <w:jc w:val="both"/>
              <w:rPr>
                <w:rFonts w:ascii="Verdana" w:hAnsi="Verdana" w:cs="Arial"/>
              </w:rPr>
            </w:pPr>
          </w:p>
        </w:tc>
        <w:tc>
          <w:tcPr>
            <w:tcW w:w="5168" w:type="dxa"/>
          </w:tcPr>
          <w:p w14:paraId="3894ADA6" w14:textId="1E99B7E2" w:rsidR="00DE6A01" w:rsidRPr="007524F1" w:rsidRDefault="00D04C11" w:rsidP="00C07A1B">
            <w:pPr>
              <w:spacing w:line="320" w:lineRule="exact"/>
              <w:jc w:val="both"/>
              <w:rPr>
                <w:rFonts w:ascii="Verdana" w:hAnsi="Verdana" w:cs="Arial"/>
                <w:bCs/>
                <w:sz w:val="18"/>
                <w:szCs w:val="18"/>
                <w:lang w:val="en-US"/>
              </w:rPr>
            </w:pPr>
            <w:r w:rsidRPr="007524F1">
              <w:rPr>
                <w:rFonts w:ascii="Verdana" w:hAnsi="Verdana" w:cs="Arial"/>
                <w:sz w:val="18"/>
                <w:szCs w:val="18"/>
                <w:lang w:val="en-US"/>
              </w:rPr>
              <w:t>Under the terms set forth in the Plan, the estimated price of the Shares to be issued is, on this date, R$ 0.00000146906822811461 per Share, which reflects the price of US$ 0.000000279184383906235</w:t>
            </w:r>
            <w:bookmarkStart w:id="4" w:name="_Hlk217176894"/>
            <w:bookmarkStart w:id="5" w:name="_Hlk216997106"/>
            <w:bookmarkEnd w:id="4"/>
            <w:r w:rsidRPr="007524F1">
              <w:rPr>
                <w:rFonts w:ascii="Verdana" w:hAnsi="Verdana" w:cs="Arial"/>
                <w:sz w:val="18"/>
                <w:szCs w:val="18"/>
                <w:lang w:val="en-US"/>
              </w:rPr>
              <w:t xml:space="preserve"> </w:t>
            </w:r>
            <w:r w:rsidRPr="007524F1">
              <w:rPr>
                <w:rFonts w:ascii="Verdana" w:hAnsi="Verdana" w:cs="Arial"/>
                <w:bCs/>
                <w:sz w:val="18"/>
                <w:szCs w:val="18"/>
                <w:lang w:val="en-US"/>
              </w:rPr>
              <w:t>per Share, as determined by the Plan</w:t>
            </w:r>
            <w:r w:rsidRPr="007524F1">
              <w:rPr>
                <w:rFonts w:ascii="Verdana" w:hAnsi="Verdana" w:cs="Arial"/>
                <w:sz w:val="18"/>
                <w:szCs w:val="18"/>
                <w:lang w:val="en-US"/>
              </w:rPr>
              <w:t xml:space="preserve">, considering the PTAX – sale exchange rate (R$/US$) calculated by BACEN on </w:t>
            </w:r>
            <w:r w:rsidRPr="007524F1">
              <w:rPr>
                <w:rFonts w:ascii="Verdana" w:hAnsi="Verdana" w:cs="Arial"/>
                <w:bCs/>
                <w:sz w:val="18"/>
                <w:szCs w:val="18"/>
                <w:lang w:val="en-US"/>
              </w:rPr>
              <w:t xml:space="preserve"> </w:t>
            </w:r>
            <w:r w:rsidRPr="007524F1">
              <w:rPr>
                <w:rFonts w:ascii="Verdana" w:hAnsi="Verdana" w:cs="Arial"/>
                <w:sz w:val="18"/>
                <w:szCs w:val="18"/>
                <w:lang w:val="en-US"/>
              </w:rPr>
              <w:t xml:space="preserve">February </w:t>
            </w:r>
            <w:r w:rsidRPr="007524F1">
              <w:rPr>
                <w:rFonts w:ascii="Verdana" w:hAnsi="Verdana" w:cs="Arial"/>
                <w:bCs/>
                <w:sz w:val="18"/>
                <w:szCs w:val="18"/>
                <w:lang w:val="en-US"/>
              </w:rPr>
              <w:t xml:space="preserve">2, </w:t>
            </w:r>
            <w:r w:rsidRPr="007524F1">
              <w:rPr>
                <w:rFonts w:ascii="Verdana" w:hAnsi="Verdana" w:cs="Arial"/>
                <w:sz w:val="18"/>
                <w:szCs w:val="18"/>
                <w:lang w:val="en-US"/>
              </w:rPr>
              <w:t xml:space="preserve">2026 of R$ </w:t>
            </w:r>
            <w:r w:rsidRPr="007524F1">
              <w:rPr>
                <w:rFonts w:ascii="Verdana" w:hAnsi="Verdana" w:cs="Arial"/>
                <w:bCs/>
                <w:sz w:val="18"/>
                <w:szCs w:val="18"/>
                <w:lang w:val="en-US"/>
              </w:rPr>
              <w:t xml:space="preserve">5.2620 </w:t>
            </w:r>
            <w:r w:rsidRPr="007524F1">
              <w:rPr>
                <w:rFonts w:ascii="Verdana" w:hAnsi="Verdana" w:cs="Arial"/>
                <w:sz w:val="18"/>
                <w:szCs w:val="18"/>
                <w:lang w:val="en-US"/>
              </w:rPr>
              <w:t>for each US$ 1.00 ("</w:t>
            </w:r>
            <w:bookmarkEnd w:id="5"/>
            <w:r w:rsidRPr="007524F1">
              <w:rPr>
                <w:rFonts w:ascii="Verdana" w:hAnsi="Verdana" w:cs="Arial"/>
                <w:b/>
                <w:sz w:val="18"/>
                <w:szCs w:val="18"/>
                <w:lang w:val="en-US"/>
              </w:rPr>
              <w:t>Price per Share</w:t>
            </w:r>
            <w:r w:rsidRPr="007524F1">
              <w:rPr>
                <w:rFonts w:ascii="Verdana" w:hAnsi="Verdana" w:cs="Arial"/>
                <w:sz w:val="18"/>
                <w:szCs w:val="18"/>
                <w:lang w:val="en-US"/>
              </w:rPr>
              <w:t>")</w:t>
            </w:r>
            <w:r w:rsidR="00C07A1B" w:rsidRPr="007524F1">
              <w:rPr>
                <w:rFonts w:ascii="Verdana" w:hAnsi="Verdana" w:cs="Arial"/>
                <w:bCs/>
                <w:sz w:val="18"/>
                <w:szCs w:val="18"/>
                <w:lang w:val="en-US"/>
              </w:rPr>
              <w:t>.</w:t>
            </w:r>
          </w:p>
          <w:p w14:paraId="258B34E9" w14:textId="77777777" w:rsidR="00DE6A01" w:rsidRPr="007524F1" w:rsidRDefault="00DE6A01" w:rsidP="00C07A1B">
            <w:pPr>
              <w:spacing w:line="320" w:lineRule="exact"/>
              <w:jc w:val="both"/>
              <w:rPr>
                <w:rFonts w:ascii="Verdana" w:hAnsi="Verdana" w:cs="Arial"/>
                <w:bCs/>
                <w:sz w:val="18"/>
                <w:szCs w:val="18"/>
                <w:lang w:val="en-US"/>
              </w:rPr>
            </w:pPr>
          </w:p>
          <w:p w14:paraId="506819FF" w14:textId="443E4131" w:rsidR="00C07A1B" w:rsidRPr="007524F1" w:rsidRDefault="00C07A1B" w:rsidP="00C07A1B">
            <w:pPr>
              <w:spacing w:line="320" w:lineRule="exact"/>
              <w:jc w:val="both"/>
              <w:rPr>
                <w:rFonts w:ascii="Verdana" w:hAnsi="Verdana" w:cs="Arial"/>
                <w:bCs/>
                <w:sz w:val="18"/>
                <w:szCs w:val="18"/>
                <w:lang w:val="en-US"/>
              </w:rPr>
            </w:pPr>
            <w:r w:rsidRPr="007524F1">
              <w:rPr>
                <w:rFonts w:ascii="Verdana" w:hAnsi="Verdana" w:cs="Arial"/>
                <w:bCs/>
                <w:sz w:val="18"/>
                <w:szCs w:val="18"/>
                <w:lang w:val="en-US"/>
              </w:rPr>
              <w:t xml:space="preserve">Accordingly, </w:t>
            </w:r>
            <w:r w:rsidR="0042051D" w:rsidRPr="007524F1">
              <w:rPr>
                <w:rFonts w:ascii="Verdana" w:hAnsi="Verdana" w:cs="Arial"/>
                <w:bCs/>
                <w:sz w:val="18"/>
                <w:szCs w:val="18"/>
                <w:lang w:val="en-US"/>
              </w:rPr>
              <w:t xml:space="preserve">on this date </w:t>
            </w:r>
            <w:r w:rsidR="00D04C11" w:rsidRPr="007524F1">
              <w:rPr>
                <w:rFonts w:ascii="Verdana" w:hAnsi="Verdana" w:cs="Arial"/>
                <w:sz w:val="18"/>
                <w:szCs w:val="18"/>
                <w:lang w:val="en-US"/>
              </w:rPr>
              <w:t xml:space="preserve">the estimated price per Basket of Shares is R$ </w:t>
            </w:r>
            <w:r w:rsidR="00D04C11" w:rsidRPr="007524F1">
              <w:rPr>
                <w:rFonts w:ascii="Verdana" w:hAnsi="Verdana" w:cs="Arial"/>
                <w:bCs/>
                <w:sz w:val="18"/>
                <w:szCs w:val="18"/>
                <w:lang w:val="en-US"/>
              </w:rPr>
              <w:t>190.38</w:t>
            </w:r>
            <w:r w:rsidR="00D04C11" w:rsidRPr="007524F1">
              <w:rPr>
                <w:rFonts w:ascii="Verdana" w:hAnsi="Verdana" w:cs="Arial"/>
                <w:sz w:val="18"/>
                <w:szCs w:val="18"/>
                <w:lang w:val="en-US"/>
              </w:rPr>
              <w:t xml:space="preserve">, equivalent to the Price per Share multiplied by </w:t>
            </w:r>
            <w:r w:rsidR="00D04C11" w:rsidRPr="007524F1">
              <w:rPr>
                <w:rFonts w:ascii="Verdana" w:hAnsi="Verdana" w:cs="Arial"/>
                <w:bCs/>
                <w:sz w:val="18"/>
                <w:szCs w:val="18"/>
                <w:lang w:val="en-US"/>
              </w:rPr>
              <w:t>129,592,500</w:t>
            </w:r>
            <w:r w:rsidR="00D04C11" w:rsidRPr="007524F1">
              <w:rPr>
                <w:rFonts w:ascii="Verdana" w:hAnsi="Verdana" w:cs="Arial"/>
                <w:sz w:val="18"/>
                <w:szCs w:val="18"/>
                <w:lang w:val="en-US"/>
              </w:rPr>
              <w:t xml:space="preserve"> Shares ("</w:t>
            </w:r>
            <w:r w:rsidR="00D04C11" w:rsidRPr="007524F1">
              <w:rPr>
                <w:rFonts w:ascii="Verdana" w:hAnsi="Verdana" w:cs="Arial"/>
                <w:b/>
                <w:sz w:val="18"/>
                <w:szCs w:val="18"/>
                <w:lang w:val="en-US"/>
              </w:rPr>
              <w:t>Price per Basket of Shares</w:t>
            </w:r>
            <w:r w:rsidR="00D04C11" w:rsidRPr="007524F1">
              <w:rPr>
                <w:rFonts w:ascii="Verdana" w:hAnsi="Verdana" w:cs="Arial"/>
                <w:sz w:val="18"/>
                <w:szCs w:val="18"/>
                <w:lang w:val="en-US"/>
              </w:rPr>
              <w:t>")</w:t>
            </w:r>
            <w:r w:rsidRPr="007524F1">
              <w:rPr>
                <w:rFonts w:ascii="Verdana" w:hAnsi="Verdana" w:cs="Arial"/>
                <w:bCs/>
                <w:sz w:val="18"/>
                <w:szCs w:val="18"/>
                <w:lang w:val="en-US"/>
              </w:rPr>
              <w:t xml:space="preserve">. </w:t>
            </w:r>
          </w:p>
          <w:p w14:paraId="1F025F0A" w14:textId="77777777" w:rsidR="00C07A1B" w:rsidRPr="007524F1" w:rsidRDefault="00C07A1B" w:rsidP="00B01DE7">
            <w:pPr>
              <w:spacing w:line="320" w:lineRule="exact"/>
              <w:jc w:val="both"/>
              <w:rPr>
                <w:rFonts w:ascii="Verdana" w:hAnsi="Verdana" w:cs="Arial"/>
                <w:bCs/>
                <w:sz w:val="18"/>
                <w:szCs w:val="18"/>
                <w:lang w:val="en-US"/>
              </w:rPr>
            </w:pPr>
          </w:p>
        </w:tc>
      </w:tr>
      <w:tr w:rsidR="00C07A1B" w:rsidRPr="00016DC5" w14:paraId="6362BDB6" w14:textId="77777777" w:rsidTr="00BE12AD">
        <w:trPr>
          <w:trHeight w:val="20"/>
          <w:jc w:val="center"/>
        </w:trPr>
        <w:tc>
          <w:tcPr>
            <w:tcW w:w="5382" w:type="dxa"/>
          </w:tcPr>
          <w:p w14:paraId="143BE453" w14:textId="4FD5E86C" w:rsidR="00C07A1B" w:rsidRPr="007524F1" w:rsidRDefault="00C07A1B" w:rsidP="007D3F32">
            <w:pPr>
              <w:pStyle w:val="Corpodetexto"/>
              <w:tabs>
                <w:tab w:val="left" w:pos="0"/>
                <w:tab w:val="left" w:pos="817"/>
              </w:tabs>
              <w:spacing w:line="320" w:lineRule="exact"/>
              <w:jc w:val="both"/>
              <w:rPr>
                <w:rFonts w:ascii="Verdana" w:hAnsi="Verdana" w:cs="Arial"/>
              </w:rPr>
            </w:pPr>
            <w:r w:rsidRPr="007524F1">
              <w:rPr>
                <w:rFonts w:ascii="Verdana" w:hAnsi="Verdana" w:cs="Arial"/>
              </w:rPr>
              <w:t xml:space="preserve">O Preço por Cesta de Ações foi arredondado </w:t>
            </w:r>
            <w:r w:rsidR="007524F1" w:rsidRPr="007524F1">
              <w:rPr>
                <w:rFonts w:ascii="Verdana" w:eastAsia="Arial" w:hAnsi="Verdana" w:cs="Arial"/>
                <w:lang w:eastAsia="en-US"/>
              </w:rPr>
              <w:t xml:space="preserve">em razão de limitações operacionais dos sistemas da B3, que não permitem a integralização de valores inferiores a um centavo, menor fração monetária atualmente admitida no </w:t>
            </w:r>
            <w:r w:rsidR="007524F1" w:rsidRPr="007524F1">
              <w:rPr>
                <w:rFonts w:ascii="Verdana" w:eastAsia="Arial" w:hAnsi="Verdana" w:cs="Arial"/>
                <w:lang w:eastAsia="en-US"/>
              </w:rPr>
              <w:lastRenderedPageBreak/>
              <w:t>Brasil. Para fins de cálculo do montante total da Oferta, foi considerado o Preço por Ação com todas as suas casas decimais, sem arredondamentos</w:t>
            </w:r>
            <w:r w:rsidRPr="007524F1">
              <w:rPr>
                <w:rFonts w:ascii="Verdana" w:hAnsi="Verdana" w:cs="Arial"/>
              </w:rPr>
              <w:t>.</w:t>
            </w:r>
          </w:p>
        </w:tc>
        <w:tc>
          <w:tcPr>
            <w:tcW w:w="5168" w:type="dxa"/>
          </w:tcPr>
          <w:p w14:paraId="58B2EE09" w14:textId="2C919B03" w:rsidR="00C07A1B" w:rsidRPr="007524F1" w:rsidRDefault="00C07A1B" w:rsidP="00B01DE7">
            <w:pPr>
              <w:spacing w:line="320" w:lineRule="exact"/>
              <w:jc w:val="both"/>
              <w:rPr>
                <w:rFonts w:ascii="Verdana" w:hAnsi="Verdana" w:cs="Arial"/>
                <w:bCs/>
                <w:sz w:val="18"/>
                <w:szCs w:val="18"/>
                <w:lang w:val="en-US"/>
              </w:rPr>
            </w:pPr>
            <w:r w:rsidRPr="007524F1">
              <w:rPr>
                <w:rFonts w:ascii="Verdana" w:hAnsi="Verdana" w:cs="Arial"/>
                <w:bCs/>
                <w:sz w:val="18"/>
                <w:szCs w:val="18"/>
                <w:lang w:val="en-US"/>
              </w:rPr>
              <w:lastRenderedPageBreak/>
              <w:t xml:space="preserve">The Price per </w:t>
            </w:r>
            <w:r w:rsidR="00230CAA" w:rsidRPr="007524F1">
              <w:rPr>
                <w:rFonts w:ascii="Verdana" w:hAnsi="Verdana" w:cs="Arial"/>
                <w:bCs/>
                <w:sz w:val="18"/>
                <w:szCs w:val="18"/>
                <w:lang w:val="en-US"/>
              </w:rPr>
              <w:t>Basket of Shares</w:t>
            </w:r>
            <w:r w:rsidRPr="007524F1">
              <w:rPr>
                <w:rFonts w:ascii="Verdana" w:hAnsi="Verdana" w:cs="Arial"/>
                <w:bCs/>
                <w:sz w:val="18"/>
                <w:szCs w:val="18"/>
                <w:lang w:val="en-US"/>
              </w:rPr>
              <w:t xml:space="preserve"> was </w:t>
            </w:r>
            <w:r w:rsidR="00D04C11" w:rsidRPr="007524F1">
              <w:rPr>
                <w:rFonts w:ascii="Verdana" w:eastAsia="Arial" w:hAnsi="Verdana" w:cs="Arial"/>
                <w:sz w:val="18"/>
                <w:szCs w:val="18"/>
                <w:lang w:val="en-US" w:eastAsia="en-US"/>
              </w:rPr>
              <w:t xml:space="preserve">rounded due to operational limitations of B3's systems, which do not allow the payment of amounts less than one cent, the lowest monetary fraction currently allowed in Brazil. </w:t>
            </w:r>
            <w:r w:rsidR="00D04C11" w:rsidRPr="007524F1">
              <w:rPr>
                <w:rFonts w:ascii="Verdana" w:eastAsia="Arial" w:hAnsi="Verdana" w:cs="Arial"/>
                <w:sz w:val="18"/>
                <w:szCs w:val="18"/>
                <w:lang w:val="en-US" w:eastAsia="en-US"/>
              </w:rPr>
              <w:lastRenderedPageBreak/>
              <w:t>For the purposes of calculating the total amount of the Offering, the Price per Share with all its decimal places, without rounding, was considered</w:t>
            </w:r>
            <w:r w:rsidRPr="007524F1">
              <w:rPr>
                <w:rFonts w:ascii="Verdana" w:hAnsi="Verdana" w:cs="Arial"/>
                <w:bCs/>
                <w:sz w:val="18"/>
                <w:szCs w:val="18"/>
                <w:lang w:val="en-US"/>
              </w:rPr>
              <w:t>.</w:t>
            </w:r>
          </w:p>
        </w:tc>
      </w:tr>
      <w:tr w:rsidR="00C07A1B" w:rsidRPr="00016DC5" w14:paraId="140BD89D" w14:textId="77777777" w:rsidTr="00BE12AD">
        <w:trPr>
          <w:trHeight w:val="20"/>
          <w:jc w:val="center"/>
        </w:trPr>
        <w:tc>
          <w:tcPr>
            <w:tcW w:w="5382" w:type="dxa"/>
          </w:tcPr>
          <w:p w14:paraId="0CD30DBA" w14:textId="77777777" w:rsidR="00C07A1B" w:rsidRPr="005520B3" w:rsidRDefault="00C07A1B" w:rsidP="007D3F32">
            <w:pPr>
              <w:pStyle w:val="Corpodetexto"/>
              <w:tabs>
                <w:tab w:val="left" w:pos="0"/>
                <w:tab w:val="left" w:pos="817"/>
              </w:tabs>
              <w:spacing w:line="320" w:lineRule="exact"/>
              <w:jc w:val="both"/>
              <w:rPr>
                <w:rFonts w:ascii="Verdana" w:hAnsi="Verdana" w:cs="Arial"/>
                <w:lang w:val="en-US"/>
              </w:rPr>
            </w:pPr>
          </w:p>
        </w:tc>
        <w:tc>
          <w:tcPr>
            <w:tcW w:w="5168" w:type="dxa"/>
          </w:tcPr>
          <w:p w14:paraId="17C24CDF" w14:textId="77777777" w:rsidR="00C07A1B" w:rsidRPr="00C07A1B" w:rsidRDefault="00C07A1B" w:rsidP="00B01DE7">
            <w:pPr>
              <w:spacing w:line="320" w:lineRule="exact"/>
              <w:jc w:val="both"/>
              <w:rPr>
                <w:rFonts w:ascii="Verdana" w:hAnsi="Verdana" w:cs="Arial"/>
                <w:bCs/>
                <w:sz w:val="18"/>
                <w:szCs w:val="18"/>
                <w:lang w:val="en-US"/>
              </w:rPr>
            </w:pPr>
          </w:p>
        </w:tc>
      </w:tr>
      <w:tr w:rsidR="00C07A1B" w:rsidRPr="00016DC5" w14:paraId="58AD1277" w14:textId="77777777" w:rsidTr="00BE12AD">
        <w:trPr>
          <w:trHeight w:val="20"/>
          <w:jc w:val="center"/>
        </w:trPr>
        <w:tc>
          <w:tcPr>
            <w:tcW w:w="5382" w:type="dxa"/>
          </w:tcPr>
          <w:p w14:paraId="5B61E9FA" w14:textId="489C7FCA" w:rsidR="00C07A1B" w:rsidRPr="00C07A1B" w:rsidRDefault="00C07A1B" w:rsidP="007D3F32">
            <w:pPr>
              <w:pStyle w:val="Corpodetexto"/>
              <w:tabs>
                <w:tab w:val="left" w:pos="0"/>
                <w:tab w:val="left" w:pos="817"/>
              </w:tabs>
              <w:spacing w:line="320" w:lineRule="exact"/>
              <w:jc w:val="both"/>
              <w:rPr>
                <w:rFonts w:ascii="Verdana" w:hAnsi="Verdana" w:cs="Arial"/>
              </w:rPr>
            </w:pPr>
            <w:r w:rsidRPr="003414D5">
              <w:rPr>
                <w:rFonts w:ascii="Verdana" w:hAnsi="Verdana" w:cs="Arial"/>
              </w:rPr>
              <w:t>A adoção da subscrição exclusivamente em unidades integrais de Cestas de Ações decorre de impossibilidade operacional de subscrição e integralização de valores mobiliários em contexto de distribuição primária por meio dos sistemas da B3, os quais não comportam a realização de atos de subscrição e integralização tendo como referência quantidades de Ações cuja integralização importe em pagamentos de valores inferiores a um centavo, que constitui a menor fração monetária vigente no Brasil, motivo pelo qual quaisquer quantidades fracionárias resultantes do exercício do Direito de Prioridade serão automaticamente ajustadas para baixo no Procedimento de Alocação. As Cestas de Ações foram calculadas em conjunto com a B3 de modo a sempre perfazer um valor superior a um centavo de Real, endereçando a questão operacional descrita acima.</w:t>
            </w:r>
          </w:p>
        </w:tc>
        <w:tc>
          <w:tcPr>
            <w:tcW w:w="5168" w:type="dxa"/>
          </w:tcPr>
          <w:p w14:paraId="565A138E" w14:textId="0471EFCB" w:rsidR="00C07A1B" w:rsidRPr="007524F1" w:rsidRDefault="007524F1" w:rsidP="00B01DE7">
            <w:pPr>
              <w:spacing w:line="320" w:lineRule="exact"/>
              <w:jc w:val="both"/>
              <w:rPr>
                <w:rFonts w:ascii="Verdana" w:hAnsi="Verdana" w:cs="Arial"/>
                <w:bCs/>
                <w:sz w:val="18"/>
                <w:szCs w:val="18"/>
                <w:lang w:val="en-US"/>
              </w:rPr>
            </w:pPr>
            <w:r w:rsidRPr="007524F1">
              <w:rPr>
                <w:rFonts w:ascii="Verdana" w:eastAsia="Arial" w:hAnsi="Verdana" w:cs="Arial"/>
                <w:sz w:val="18"/>
                <w:szCs w:val="18"/>
                <w:lang w:val="en-US" w:eastAsia="en-US"/>
              </w:rPr>
              <w:t>The adoption of subscription exclusively in full units of Baskets of Shares results from the operational impossibility of subscription and payment of securities in the context of primary distribution through B3's systems, which do not support the performance of subscription and payment acts with reference to the number of Shares whose payment implies payments of less than one cent,  which constitutes the smallest monetary fraction in force in Brazil, which is why any fractional amounts resulting from the exercise of the Right of Priority will be automatically adjusted downwards in the Allocation Procedure. The Baskets of Shares were calculated together with B3 in order to always make up a value greater than one cent of Real, addressing the operational issue described above</w:t>
            </w:r>
            <w:r w:rsidR="00C07A1B" w:rsidRPr="007524F1">
              <w:rPr>
                <w:rFonts w:ascii="Verdana" w:hAnsi="Verdana" w:cs="Arial"/>
                <w:bCs/>
                <w:sz w:val="18"/>
                <w:szCs w:val="18"/>
                <w:lang w:val="en-US"/>
              </w:rPr>
              <w:t>.</w:t>
            </w:r>
          </w:p>
        </w:tc>
      </w:tr>
      <w:tr w:rsidR="00C07A1B" w:rsidRPr="00016DC5" w14:paraId="40F4B6F7" w14:textId="77777777" w:rsidTr="00BE12AD">
        <w:trPr>
          <w:trHeight w:val="20"/>
          <w:jc w:val="center"/>
        </w:trPr>
        <w:tc>
          <w:tcPr>
            <w:tcW w:w="5382" w:type="dxa"/>
          </w:tcPr>
          <w:p w14:paraId="20C8FE66" w14:textId="77777777" w:rsidR="00C07A1B" w:rsidRPr="005520B3" w:rsidRDefault="00C07A1B" w:rsidP="007D3F32">
            <w:pPr>
              <w:pStyle w:val="Corpodetexto"/>
              <w:tabs>
                <w:tab w:val="left" w:pos="0"/>
                <w:tab w:val="left" w:pos="817"/>
              </w:tabs>
              <w:spacing w:line="320" w:lineRule="exact"/>
              <w:jc w:val="both"/>
              <w:rPr>
                <w:rFonts w:ascii="Verdana" w:hAnsi="Verdana" w:cs="Arial"/>
                <w:lang w:val="en-US"/>
              </w:rPr>
            </w:pPr>
          </w:p>
        </w:tc>
        <w:tc>
          <w:tcPr>
            <w:tcW w:w="5168" w:type="dxa"/>
          </w:tcPr>
          <w:p w14:paraId="59D44F58" w14:textId="77777777" w:rsidR="00C07A1B" w:rsidRPr="00C07A1B" w:rsidRDefault="00C07A1B" w:rsidP="00B01DE7">
            <w:pPr>
              <w:spacing w:line="320" w:lineRule="exact"/>
              <w:jc w:val="both"/>
              <w:rPr>
                <w:rFonts w:ascii="Verdana" w:hAnsi="Verdana" w:cs="Arial"/>
                <w:bCs/>
                <w:sz w:val="18"/>
                <w:szCs w:val="18"/>
                <w:lang w:val="en-US"/>
              </w:rPr>
            </w:pPr>
          </w:p>
        </w:tc>
      </w:tr>
      <w:tr w:rsidR="00C07A1B" w:rsidRPr="00016DC5" w14:paraId="4CD205AD" w14:textId="77777777" w:rsidTr="00BE12AD">
        <w:trPr>
          <w:trHeight w:val="20"/>
          <w:jc w:val="center"/>
        </w:trPr>
        <w:tc>
          <w:tcPr>
            <w:tcW w:w="5382" w:type="dxa"/>
          </w:tcPr>
          <w:p w14:paraId="10D02251" w14:textId="39D168A2" w:rsidR="00C07A1B" w:rsidRPr="00F72AA0" w:rsidRDefault="00F72AA0" w:rsidP="00C07A1B">
            <w:pPr>
              <w:pStyle w:val="Corpodetexto"/>
              <w:tabs>
                <w:tab w:val="left" w:pos="0"/>
                <w:tab w:val="left" w:pos="817"/>
              </w:tabs>
              <w:spacing w:line="320" w:lineRule="exact"/>
              <w:jc w:val="both"/>
              <w:rPr>
                <w:rFonts w:ascii="Verdana" w:hAnsi="Verdana" w:cs="Arial"/>
                <w:b/>
                <w:bCs/>
              </w:rPr>
            </w:pPr>
            <w:r w:rsidRPr="00F72AA0">
              <w:rPr>
                <w:rFonts w:ascii="Verdana" w:hAnsi="Verdana" w:cs="Arial"/>
                <w:b/>
                <w:bCs/>
              </w:rPr>
              <w:t>Sem prejuízo, os Acionistas que desejarem participar da Oferta Prioritária e que não detenham quantidade de ações suficiente para compor um ou mais múltiplos inteiros de Cestas de Ações poderão, a seu exclusivo critério, adquirir ações de emissão da Companhia no mercado secundário até 5 de fevereiro de 2026, isto é, 2 Dias Úteis antes da Segunda Data de Corte, inclusive por meio de negociações no mercado fracionário. As negociações no mercado fracionário poderão ser utilizadas pelos Acionistas para ajustar suas respectivas posições e formar os blocos necessários à composição de Cestas de Ações, exclusivamente para fins de exercício do Direito de Prioridade no âmbito da Oferta Prioritária</w:t>
            </w:r>
            <w:r w:rsidR="00C07A1B" w:rsidRPr="00F72AA0">
              <w:rPr>
                <w:rFonts w:ascii="Verdana" w:hAnsi="Verdana" w:cs="Arial"/>
                <w:b/>
                <w:bCs/>
              </w:rPr>
              <w:t>.</w:t>
            </w:r>
          </w:p>
          <w:p w14:paraId="60EDE1D8" w14:textId="77777777" w:rsidR="00C07A1B" w:rsidRPr="00F72AA0" w:rsidRDefault="00C07A1B" w:rsidP="007D3F32">
            <w:pPr>
              <w:pStyle w:val="Corpodetexto"/>
              <w:tabs>
                <w:tab w:val="left" w:pos="0"/>
                <w:tab w:val="left" w:pos="817"/>
              </w:tabs>
              <w:spacing w:line="320" w:lineRule="exact"/>
              <w:jc w:val="both"/>
              <w:rPr>
                <w:rFonts w:ascii="Verdana" w:hAnsi="Verdana" w:cs="Arial"/>
              </w:rPr>
            </w:pPr>
          </w:p>
        </w:tc>
        <w:tc>
          <w:tcPr>
            <w:tcW w:w="5168" w:type="dxa"/>
          </w:tcPr>
          <w:p w14:paraId="5F86595E" w14:textId="7C5FBE5C" w:rsidR="00C07A1B" w:rsidRPr="00F72AA0" w:rsidRDefault="00F72AA0" w:rsidP="00C07A1B">
            <w:pPr>
              <w:pStyle w:val="Corpodetexto"/>
              <w:tabs>
                <w:tab w:val="left" w:pos="0"/>
                <w:tab w:val="left" w:pos="817"/>
              </w:tabs>
              <w:spacing w:line="320" w:lineRule="exact"/>
              <w:jc w:val="both"/>
              <w:rPr>
                <w:rFonts w:ascii="Verdana" w:hAnsi="Verdana" w:cs="Arial"/>
                <w:bCs/>
                <w:lang w:val="en-US"/>
              </w:rPr>
            </w:pPr>
            <w:r w:rsidRPr="00F72AA0">
              <w:rPr>
                <w:rFonts w:ascii="Verdana" w:hAnsi="Verdana" w:cs="Arial"/>
                <w:b/>
                <w:bCs/>
                <w:lang w:val="en-US"/>
              </w:rPr>
              <w:t>Without prejudice, Shareholders who wish to participate in the Priority Offering and who do not hold enough shares to compose one or more whole multiples of Baskets of Shares may, at their sole discretion, acquire shares issued by the Company in the secondary market until February 5, 2026, that is, 2 Business Days before the Second Cut-Off Date</w:t>
            </w:r>
            <w:r w:rsidR="008A608C">
              <w:rPr>
                <w:rFonts w:ascii="Verdana" w:hAnsi="Verdana" w:cs="Arial"/>
                <w:b/>
                <w:bCs/>
                <w:lang w:val="en-US"/>
              </w:rPr>
              <w:t>,</w:t>
            </w:r>
            <w:r w:rsidRPr="00F72AA0">
              <w:rPr>
                <w:rFonts w:ascii="Verdana" w:hAnsi="Verdana" w:cs="Arial"/>
                <w:b/>
                <w:bCs/>
                <w:lang w:val="en-US"/>
              </w:rPr>
              <w:t xml:space="preserve"> including through fractional market trading. Negotiations in the fractional market may be used by the Shareholders to adjust their respective positions and form the blocks necessary for the composition of Baskets of Shares, exclusively for the purpose of exercising the Right of Priority within the scope of the Priority Offer</w:t>
            </w:r>
            <w:r w:rsidR="00C07A1B" w:rsidRPr="00F72AA0">
              <w:rPr>
                <w:rFonts w:ascii="Verdana" w:hAnsi="Verdana" w:cs="Arial"/>
                <w:b/>
                <w:bCs/>
                <w:lang w:val="en-US"/>
              </w:rPr>
              <w:t xml:space="preserve">. </w:t>
            </w:r>
          </w:p>
          <w:p w14:paraId="20FE09FD" w14:textId="77777777" w:rsidR="00C07A1B" w:rsidRPr="00F72AA0" w:rsidRDefault="00C07A1B" w:rsidP="00B01DE7">
            <w:pPr>
              <w:spacing w:line="320" w:lineRule="exact"/>
              <w:jc w:val="both"/>
              <w:rPr>
                <w:rFonts w:ascii="Verdana" w:hAnsi="Verdana" w:cs="Arial"/>
                <w:bCs/>
                <w:sz w:val="18"/>
                <w:szCs w:val="18"/>
                <w:lang w:val="en-US"/>
              </w:rPr>
            </w:pPr>
          </w:p>
        </w:tc>
      </w:tr>
      <w:tr w:rsidR="00C07A1B" w:rsidRPr="00016DC5" w14:paraId="339E3A0C" w14:textId="77777777" w:rsidTr="00BE12AD">
        <w:trPr>
          <w:trHeight w:val="20"/>
          <w:jc w:val="center"/>
        </w:trPr>
        <w:tc>
          <w:tcPr>
            <w:tcW w:w="5382" w:type="dxa"/>
          </w:tcPr>
          <w:p w14:paraId="6AFDFF72" w14:textId="658DC841" w:rsidR="00C07A1B" w:rsidRPr="00F72AA0" w:rsidRDefault="00F72AA0" w:rsidP="007D3F32">
            <w:pPr>
              <w:pStyle w:val="Corpodetexto"/>
              <w:tabs>
                <w:tab w:val="left" w:pos="0"/>
                <w:tab w:val="left" w:pos="817"/>
              </w:tabs>
              <w:spacing w:line="320" w:lineRule="exact"/>
              <w:jc w:val="both"/>
              <w:rPr>
                <w:rFonts w:ascii="Verdana" w:hAnsi="Verdana" w:cs="Arial"/>
                <w:bCs/>
              </w:rPr>
            </w:pPr>
            <w:r w:rsidRPr="00F72AA0">
              <w:rPr>
                <w:rFonts w:ascii="Verdana" w:hAnsi="Verdana" w:cs="Arial"/>
              </w:rPr>
              <w:t>No âmbito da Oferta Institucional, deverão ser subscritas e integralizadas Ações em lotes compostos por 129.592.500 de Ações ("</w:t>
            </w:r>
            <w:r w:rsidRPr="00F72AA0">
              <w:rPr>
                <w:rFonts w:ascii="Verdana" w:hAnsi="Verdana" w:cs="Arial"/>
                <w:b/>
              </w:rPr>
              <w:t>Lote de Ações</w:t>
            </w:r>
            <w:r w:rsidRPr="00F72AA0">
              <w:rPr>
                <w:rFonts w:ascii="Verdana" w:hAnsi="Verdana" w:cs="Arial"/>
              </w:rPr>
              <w:t xml:space="preserve">"), não sendo aceitos, na Oferta Institucional, quaisquer pedidos de subscrição que não observem essa condição, isto é, que não considerem pelo menos um múltiplo inteiro de Lotes </w:t>
            </w:r>
            <w:r w:rsidRPr="00F72AA0">
              <w:rPr>
                <w:rFonts w:ascii="Verdana" w:hAnsi="Verdana" w:cs="Arial"/>
              </w:rPr>
              <w:lastRenderedPageBreak/>
              <w:t>de Ações. Assim, na Oferta Institucional, somente serão consideradas válidas as ordens que compreendam Ações representativas de um Lote de Ação, conforme estabelecido no âmbito da presente Oferta</w:t>
            </w:r>
            <w:r w:rsidR="00C07A1B" w:rsidRPr="00F72AA0">
              <w:rPr>
                <w:rFonts w:ascii="Verdana" w:hAnsi="Verdana" w:cs="Arial"/>
                <w:bCs/>
              </w:rPr>
              <w:t>.</w:t>
            </w:r>
          </w:p>
        </w:tc>
        <w:tc>
          <w:tcPr>
            <w:tcW w:w="5168" w:type="dxa"/>
          </w:tcPr>
          <w:p w14:paraId="2D3DB6E5" w14:textId="44DB5C5F" w:rsidR="00C07A1B" w:rsidRPr="00F72AA0" w:rsidRDefault="00F72AA0" w:rsidP="00B01DE7">
            <w:pPr>
              <w:spacing w:line="320" w:lineRule="exact"/>
              <w:jc w:val="both"/>
              <w:rPr>
                <w:rFonts w:ascii="Verdana" w:hAnsi="Verdana" w:cs="Arial"/>
                <w:bCs/>
                <w:sz w:val="18"/>
                <w:szCs w:val="18"/>
                <w:lang w:val="en-US"/>
              </w:rPr>
            </w:pPr>
            <w:r w:rsidRPr="00F72AA0">
              <w:rPr>
                <w:rFonts w:ascii="Verdana" w:hAnsi="Verdana" w:cs="Arial"/>
                <w:sz w:val="18"/>
                <w:szCs w:val="18"/>
                <w:lang w:val="en-US"/>
              </w:rPr>
              <w:lastRenderedPageBreak/>
              <w:t>Within the scope of the Institutional Offering, Shares must be subscribed and paid in in lots composed of 129,592,500 Shares ("</w:t>
            </w:r>
            <w:r w:rsidRPr="00F72AA0">
              <w:rPr>
                <w:rFonts w:ascii="Verdana" w:hAnsi="Verdana" w:cs="Arial"/>
                <w:b/>
                <w:sz w:val="18"/>
                <w:szCs w:val="18"/>
                <w:lang w:val="en-US"/>
              </w:rPr>
              <w:t>Lot of Shares</w:t>
            </w:r>
            <w:r w:rsidRPr="00F72AA0">
              <w:rPr>
                <w:rFonts w:ascii="Verdana" w:hAnsi="Verdana" w:cs="Arial"/>
                <w:sz w:val="18"/>
                <w:szCs w:val="18"/>
                <w:lang w:val="en-US"/>
              </w:rPr>
              <w:t xml:space="preserve">"), and any subscription requests that do not comply with this condition, that is, that do not consider at least an integer multiple of Lots of Shares, will not be accepted </w:t>
            </w:r>
            <w:r w:rsidRPr="00F72AA0">
              <w:rPr>
                <w:rFonts w:ascii="Verdana" w:hAnsi="Verdana" w:cs="Arial"/>
                <w:sz w:val="18"/>
                <w:szCs w:val="18"/>
                <w:lang w:val="en-US"/>
              </w:rPr>
              <w:lastRenderedPageBreak/>
              <w:t>in the Institutional Offer. Thus, in the Institutional Offer, only orders that comprise Shares representing a Share Lot, as established within the scope of this Offer, will be considered valid</w:t>
            </w:r>
            <w:r w:rsidR="00C07A1B" w:rsidRPr="00F72AA0">
              <w:rPr>
                <w:rFonts w:ascii="Verdana" w:hAnsi="Verdana" w:cs="Arial"/>
                <w:bCs/>
                <w:sz w:val="18"/>
                <w:szCs w:val="18"/>
                <w:lang w:val="en-US"/>
              </w:rPr>
              <w:t>.</w:t>
            </w:r>
          </w:p>
        </w:tc>
      </w:tr>
      <w:tr w:rsidR="00C07A1B" w:rsidRPr="00016DC5" w14:paraId="3533C0C9" w14:textId="77777777" w:rsidTr="00BE12AD">
        <w:trPr>
          <w:trHeight w:val="20"/>
          <w:jc w:val="center"/>
        </w:trPr>
        <w:tc>
          <w:tcPr>
            <w:tcW w:w="5382" w:type="dxa"/>
          </w:tcPr>
          <w:p w14:paraId="55127D4A" w14:textId="77777777" w:rsidR="00C07A1B" w:rsidRPr="005520B3" w:rsidRDefault="00C07A1B" w:rsidP="007D3F32">
            <w:pPr>
              <w:pStyle w:val="Corpodetexto"/>
              <w:tabs>
                <w:tab w:val="left" w:pos="0"/>
                <w:tab w:val="left" w:pos="817"/>
              </w:tabs>
              <w:spacing w:line="320" w:lineRule="exact"/>
              <w:jc w:val="both"/>
              <w:rPr>
                <w:rFonts w:ascii="Verdana" w:hAnsi="Verdana" w:cs="Arial"/>
                <w:lang w:val="en-US"/>
              </w:rPr>
            </w:pPr>
          </w:p>
        </w:tc>
        <w:tc>
          <w:tcPr>
            <w:tcW w:w="5168" w:type="dxa"/>
          </w:tcPr>
          <w:p w14:paraId="415D5933" w14:textId="77777777" w:rsidR="00C07A1B" w:rsidRPr="00C07A1B" w:rsidRDefault="00C07A1B" w:rsidP="00B01DE7">
            <w:pPr>
              <w:spacing w:line="320" w:lineRule="exact"/>
              <w:jc w:val="both"/>
              <w:rPr>
                <w:rFonts w:ascii="Verdana" w:hAnsi="Verdana" w:cs="Arial"/>
                <w:bCs/>
                <w:sz w:val="18"/>
                <w:szCs w:val="18"/>
                <w:lang w:val="en-US"/>
              </w:rPr>
            </w:pPr>
          </w:p>
        </w:tc>
      </w:tr>
      <w:tr w:rsidR="007E5AD8" w:rsidRPr="00016DC5" w14:paraId="78A1104A" w14:textId="77777777" w:rsidTr="00BE12AD">
        <w:trPr>
          <w:trHeight w:val="20"/>
          <w:jc w:val="center"/>
        </w:trPr>
        <w:tc>
          <w:tcPr>
            <w:tcW w:w="5382" w:type="dxa"/>
          </w:tcPr>
          <w:p w14:paraId="3E55C2D4" w14:textId="7C58C6FB" w:rsidR="009C570D" w:rsidRDefault="001B305F" w:rsidP="006A49F4">
            <w:pPr>
              <w:pStyle w:val="Corpodetexto"/>
              <w:spacing w:line="320" w:lineRule="exact"/>
              <w:jc w:val="both"/>
              <w:rPr>
                <w:rFonts w:ascii="Verdana" w:hAnsi="Verdana" w:cs="Arial"/>
                <w:bCs/>
              </w:rPr>
            </w:pPr>
            <w:r w:rsidRPr="00F72AA0">
              <w:rPr>
                <w:rFonts w:ascii="Verdana" w:hAnsi="Verdana" w:cs="Arial"/>
                <w:bCs/>
              </w:rPr>
              <w:t>A Oferta consist</w:t>
            </w:r>
            <w:r w:rsidR="002B0752" w:rsidRPr="00F72AA0">
              <w:rPr>
                <w:rFonts w:ascii="Verdana" w:hAnsi="Verdana" w:cs="Arial"/>
                <w:bCs/>
              </w:rPr>
              <w:t>e</w:t>
            </w:r>
            <w:r w:rsidRPr="00F72AA0">
              <w:rPr>
                <w:rFonts w:ascii="Verdana" w:hAnsi="Verdana" w:cs="Arial"/>
                <w:bCs/>
              </w:rPr>
              <w:t xml:space="preserve"> na distribuição pública</w:t>
            </w:r>
            <w:r w:rsidR="004179F2" w:rsidRPr="00F72AA0">
              <w:rPr>
                <w:rFonts w:ascii="Verdana" w:hAnsi="Verdana" w:cs="Arial"/>
                <w:bCs/>
              </w:rPr>
              <w:t xml:space="preserve"> </w:t>
            </w:r>
            <w:r w:rsidR="002B0752" w:rsidRPr="00F72AA0">
              <w:rPr>
                <w:rFonts w:ascii="Verdana" w:hAnsi="Verdana" w:cs="Arial"/>
                <w:bCs/>
              </w:rPr>
              <w:t xml:space="preserve">primária de </w:t>
            </w:r>
            <w:r w:rsidR="0042661B" w:rsidRPr="00F72AA0">
              <w:rPr>
                <w:rFonts w:ascii="Verdana" w:hAnsi="Verdana" w:cs="Arial"/>
                <w:bCs/>
              </w:rPr>
              <w:t xml:space="preserve">até </w:t>
            </w:r>
            <w:r w:rsidR="00F72AA0" w:rsidRPr="00F72AA0">
              <w:rPr>
                <w:rFonts w:ascii="Verdana" w:hAnsi="Verdana" w:cs="Arial"/>
                <w:bCs/>
              </w:rPr>
              <w:t>3.410.828.076.292.500</w:t>
            </w:r>
            <w:r w:rsidR="00423E30" w:rsidRPr="00F72AA0">
              <w:rPr>
                <w:rFonts w:ascii="Verdana" w:hAnsi="Verdana" w:cs="Arial"/>
              </w:rPr>
              <w:t xml:space="preserve"> </w:t>
            </w:r>
            <w:r w:rsidR="002B0752" w:rsidRPr="00F72AA0">
              <w:rPr>
                <w:rFonts w:ascii="Verdana" w:hAnsi="Verdana" w:cs="Arial"/>
              </w:rPr>
              <w:t>novas Ações</w:t>
            </w:r>
            <w:r w:rsidR="00C01FF2" w:rsidRPr="00F72AA0">
              <w:rPr>
                <w:rFonts w:ascii="Verdana" w:hAnsi="Verdana" w:cs="Arial"/>
                <w:bCs/>
              </w:rPr>
              <w:t xml:space="preserve">, </w:t>
            </w:r>
            <w:r w:rsidR="002B0752" w:rsidRPr="00F72AA0">
              <w:rPr>
                <w:rFonts w:ascii="Verdana" w:hAnsi="Verdana" w:cs="Arial"/>
                <w:bCs/>
              </w:rPr>
              <w:t>a serem emitidas pela Companhia</w:t>
            </w:r>
            <w:r w:rsidR="009C570D" w:rsidRPr="00F72AA0">
              <w:rPr>
                <w:rFonts w:ascii="Verdana" w:hAnsi="Verdana" w:cs="Arial"/>
                <w:bCs/>
              </w:rPr>
              <w:t xml:space="preserve"> </w:t>
            </w:r>
            <w:r w:rsidR="002B0752" w:rsidRPr="00F72AA0">
              <w:rPr>
                <w:rFonts w:ascii="Verdana" w:hAnsi="Verdana" w:cs="Arial"/>
                <w:bCs/>
              </w:rPr>
              <w:t xml:space="preserve">e </w:t>
            </w:r>
            <w:r w:rsidR="00886747" w:rsidRPr="00F72AA0">
              <w:rPr>
                <w:rFonts w:ascii="Verdana" w:hAnsi="Verdana" w:cs="Arial"/>
                <w:bCs/>
              </w:rPr>
              <w:t xml:space="preserve">a ser </w:t>
            </w:r>
            <w:r w:rsidR="002B0752" w:rsidRPr="00F72AA0">
              <w:rPr>
                <w:rFonts w:ascii="Verdana" w:hAnsi="Verdana" w:cs="Arial"/>
                <w:bCs/>
              </w:rPr>
              <w:t xml:space="preserve">realizada no Brasil, em mercado de balcão não organizado, </w:t>
            </w:r>
            <w:r w:rsidR="000417C2" w:rsidRPr="00F72AA0">
              <w:rPr>
                <w:rFonts w:ascii="Verdana" w:hAnsi="Verdana" w:cs="Arial"/>
                <w:bCs/>
              </w:rPr>
              <w:t xml:space="preserve">sob a coordenação do </w:t>
            </w:r>
            <w:r w:rsidR="00BA6314" w:rsidRPr="00F72AA0">
              <w:rPr>
                <w:rFonts w:ascii="Verdana" w:hAnsi="Verdana" w:cs="Arial"/>
                <w:b/>
              </w:rPr>
              <w:t xml:space="preserve">UBS </w:t>
            </w:r>
            <w:r w:rsidR="00B277C1" w:rsidRPr="00F72AA0">
              <w:rPr>
                <w:rFonts w:ascii="Verdana" w:hAnsi="Verdana" w:cs="Arial"/>
                <w:b/>
              </w:rPr>
              <w:t>BB</w:t>
            </w:r>
            <w:r w:rsidR="00BA6314" w:rsidRPr="00F72AA0">
              <w:rPr>
                <w:rFonts w:ascii="Verdana" w:hAnsi="Verdana" w:cs="Arial"/>
                <w:b/>
              </w:rPr>
              <w:t xml:space="preserve"> Corretora de Câmbio, Títulos e Valores Mobiliários S.A.</w:t>
            </w:r>
            <w:r w:rsidR="00BA6314" w:rsidRPr="00F72AA0">
              <w:rPr>
                <w:rFonts w:ascii="Verdana" w:hAnsi="Verdana" w:cs="Arial"/>
                <w:bCs/>
              </w:rPr>
              <w:t xml:space="preserve"> </w:t>
            </w:r>
            <w:r w:rsidR="000417C2" w:rsidRPr="00F72AA0">
              <w:rPr>
                <w:rFonts w:ascii="Verdana" w:hAnsi="Verdana" w:cs="Arial"/>
                <w:bCs/>
              </w:rPr>
              <w:t>(</w:t>
            </w:r>
            <w:r w:rsidR="00750320" w:rsidRPr="00F72AA0">
              <w:rPr>
                <w:rFonts w:ascii="Verdana" w:hAnsi="Verdana" w:cs="Arial"/>
                <w:bCs/>
              </w:rPr>
              <w:t>“</w:t>
            </w:r>
            <w:r w:rsidR="00BA6314" w:rsidRPr="00F72AA0">
              <w:rPr>
                <w:rFonts w:ascii="Verdana" w:hAnsi="Verdana" w:cs="Arial"/>
                <w:b/>
              </w:rPr>
              <w:t>UBS</w:t>
            </w:r>
            <w:r w:rsidR="00A465B6" w:rsidRPr="00F72AA0">
              <w:rPr>
                <w:rFonts w:ascii="Verdana" w:hAnsi="Verdana" w:cs="Arial"/>
                <w:b/>
              </w:rPr>
              <w:t xml:space="preserve"> BB</w:t>
            </w:r>
            <w:r w:rsidR="00750320" w:rsidRPr="00F72AA0">
              <w:rPr>
                <w:rFonts w:ascii="Verdana" w:hAnsi="Verdana" w:cs="Arial"/>
                <w:bCs/>
              </w:rPr>
              <w:t>”</w:t>
            </w:r>
            <w:r w:rsidR="000417C2" w:rsidRPr="00F72AA0">
              <w:rPr>
                <w:rFonts w:ascii="Verdana" w:hAnsi="Verdana" w:cs="Arial"/>
                <w:bCs/>
              </w:rPr>
              <w:t xml:space="preserve"> ou </w:t>
            </w:r>
            <w:r w:rsidR="00750320" w:rsidRPr="00F72AA0">
              <w:rPr>
                <w:rFonts w:ascii="Verdana" w:hAnsi="Verdana" w:cs="Arial"/>
                <w:bCs/>
              </w:rPr>
              <w:t>“</w:t>
            </w:r>
            <w:r w:rsidR="000417C2" w:rsidRPr="00F72AA0">
              <w:rPr>
                <w:rFonts w:ascii="Verdana" w:hAnsi="Verdana" w:cs="Arial"/>
                <w:b/>
              </w:rPr>
              <w:t xml:space="preserve">Coordenador </w:t>
            </w:r>
            <w:r w:rsidR="00A465B6" w:rsidRPr="00F72AA0">
              <w:rPr>
                <w:rFonts w:ascii="Verdana" w:hAnsi="Verdana" w:cs="Arial"/>
                <w:b/>
              </w:rPr>
              <w:t>da Oferta</w:t>
            </w:r>
            <w:r w:rsidR="00750320" w:rsidRPr="00F72AA0">
              <w:rPr>
                <w:rFonts w:ascii="Verdana" w:hAnsi="Verdana" w:cs="Arial"/>
                <w:bCs/>
              </w:rPr>
              <w:t>”</w:t>
            </w:r>
            <w:r w:rsidR="000417C2" w:rsidRPr="00F72AA0">
              <w:rPr>
                <w:rFonts w:ascii="Verdana" w:hAnsi="Verdana" w:cs="Arial"/>
                <w:bCs/>
              </w:rPr>
              <w:t>)</w:t>
            </w:r>
            <w:r w:rsidR="002B0752" w:rsidRPr="00F72AA0">
              <w:rPr>
                <w:rFonts w:ascii="Verdana" w:hAnsi="Verdana" w:cs="Arial"/>
                <w:bCs/>
              </w:rPr>
              <w:t xml:space="preserve">, em conformidade com os procedimentos da Resolução CVM 160, do </w:t>
            </w:r>
            <w:r w:rsidR="00750320" w:rsidRPr="00F72AA0">
              <w:rPr>
                <w:rFonts w:ascii="Verdana" w:hAnsi="Verdana" w:cs="Arial"/>
                <w:bCs/>
              </w:rPr>
              <w:t>“</w:t>
            </w:r>
            <w:r w:rsidR="003220B7" w:rsidRPr="00F72AA0">
              <w:rPr>
                <w:rFonts w:ascii="Verdana" w:hAnsi="Verdana" w:cs="Arial"/>
                <w:bCs/>
                <w:i/>
                <w:iCs/>
              </w:rPr>
              <w:t xml:space="preserve">Código </w:t>
            </w:r>
            <w:r w:rsidR="00B277C1" w:rsidRPr="00F72AA0">
              <w:rPr>
                <w:rFonts w:ascii="Verdana" w:hAnsi="Verdana" w:cs="Arial"/>
                <w:bCs/>
                <w:i/>
                <w:iCs/>
              </w:rPr>
              <w:t>de Ofertas Públicas</w:t>
            </w:r>
            <w:r w:rsidR="00750320" w:rsidRPr="00F72AA0">
              <w:rPr>
                <w:rFonts w:ascii="Verdana" w:hAnsi="Verdana" w:cs="Arial"/>
                <w:bCs/>
              </w:rPr>
              <w:t>”</w:t>
            </w:r>
            <w:r w:rsidR="002B0752" w:rsidRPr="00F72AA0">
              <w:rPr>
                <w:rFonts w:ascii="Verdana" w:hAnsi="Verdana" w:cs="Arial"/>
                <w:bCs/>
              </w:rPr>
              <w:t xml:space="preserve"> </w:t>
            </w:r>
            <w:r w:rsidR="00156582" w:rsidRPr="00F72AA0">
              <w:rPr>
                <w:rFonts w:ascii="Verdana" w:hAnsi="Verdana" w:cs="Arial"/>
                <w:bCs/>
              </w:rPr>
              <w:t xml:space="preserve">e das </w:t>
            </w:r>
            <w:r w:rsidR="00750320" w:rsidRPr="00F72AA0">
              <w:rPr>
                <w:rFonts w:ascii="Verdana" w:hAnsi="Verdana" w:cs="Arial"/>
                <w:bCs/>
              </w:rPr>
              <w:t>“</w:t>
            </w:r>
            <w:r w:rsidR="00156582" w:rsidRPr="00F72AA0">
              <w:rPr>
                <w:rFonts w:ascii="Verdana" w:hAnsi="Verdana" w:cs="Arial"/>
                <w:bCs/>
                <w:i/>
                <w:iCs/>
              </w:rPr>
              <w:t>Regras e Procedimentos de Ofertas Públicas</w:t>
            </w:r>
            <w:r w:rsidR="00750320" w:rsidRPr="00F72AA0">
              <w:rPr>
                <w:rFonts w:ascii="Verdana" w:hAnsi="Verdana" w:cs="Arial"/>
                <w:bCs/>
              </w:rPr>
              <w:t>”</w:t>
            </w:r>
            <w:r w:rsidR="002B0752" w:rsidRPr="00F72AA0">
              <w:rPr>
                <w:rFonts w:ascii="Verdana" w:hAnsi="Verdana" w:cs="Arial"/>
                <w:bCs/>
              </w:rPr>
              <w:t>,</w:t>
            </w:r>
            <w:r w:rsidR="000F2132" w:rsidRPr="00F72AA0">
              <w:rPr>
                <w:rFonts w:ascii="Verdana" w:hAnsi="Verdana" w:cs="Arial"/>
                <w:bCs/>
              </w:rPr>
              <w:t xml:space="preserve"> </w:t>
            </w:r>
            <w:r w:rsidR="00A465B6" w:rsidRPr="00F72AA0">
              <w:rPr>
                <w:rFonts w:ascii="Verdana" w:hAnsi="Verdana" w:cs="Arial"/>
                <w:bCs/>
              </w:rPr>
              <w:t xml:space="preserve">ambos </w:t>
            </w:r>
            <w:r w:rsidR="000F2132" w:rsidRPr="00F72AA0">
              <w:rPr>
                <w:rFonts w:ascii="Verdana" w:hAnsi="Verdana" w:cs="Arial"/>
                <w:bCs/>
              </w:rPr>
              <w:t xml:space="preserve">vigente </w:t>
            </w:r>
            <w:r w:rsidR="00A465B6" w:rsidRPr="00F72AA0">
              <w:rPr>
                <w:rFonts w:ascii="Verdana" w:hAnsi="Verdana" w:cs="Arial"/>
                <w:bCs/>
              </w:rPr>
              <w:t>na data de divulgação do Aviso ao Mercado</w:t>
            </w:r>
            <w:r w:rsidR="000F2132" w:rsidRPr="00F72AA0">
              <w:rPr>
                <w:rFonts w:ascii="Verdana" w:hAnsi="Verdana" w:cs="Arial"/>
                <w:bCs/>
              </w:rPr>
              <w:t xml:space="preserve">, </w:t>
            </w:r>
            <w:r w:rsidR="00A465B6" w:rsidRPr="00F72AA0">
              <w:rPr>
                <w:rFonts w:ascii="Verdana" w:hAnsi="Verdana" w:cs="Arial"/>
                <w:bCs/>
              </w:rPr>
              <w:t xml:space="preserve">e </w:t>
            </w:r>
            <w:r w:rsidR="002B0752" w:rsidRPr="00F72AA0">
              <w:rPr>
                <w:rFonts w:ascii="Verdana" w:hAnsi="Verdana" w:cs="Arial"/>
                <w:bCs/>
              </w:rPr>
              <w:t>editado</w:t>
            </w:r>
            <w:r w:rsidR="000F2132" w:rsidRPr="00F72AA0">
              <w:rPr>
                <w:rFonts w:ascii="Verdana" w:hAnsi="Verdana" w:cs="Arial"/>
                <w:bCs/>
              </w:rPr>
              <w:t>s</w:t>
            </w:r>
            <w:r w:rsidR="002B0752" w:rsidRPr="00F72AA0">
              <w:rPr>
                <w:rFonts w:ascii="Verdana" w:hAnsi="Verdana" w:cs="Arial"/>
                <w:bCs/>
              </w:rPr>
              <w:t xml:space="preserve"> pela Associação Brasileira das Entidades dos Mercados Financeiro e de Capitais – ANBIMA (</w:t>
            </w:r>
            <w:r w:rsidR="00750320" w:rsidRPr="00F72AA0">
              <w:rPr>
                <w:rFonts w:ascii="Verdana" w:hAnsi="Verdana" w:cs="Arial"/>
                <w:bCs/>
              </w:rPr>
              <w:t>“</w:t>
            </w:r>
            <w:r w:rsidR="002B0752" w:rsidRPr="00F72AA0">
              <w:rPr>
                <w:rFonts w:ascii="Verdana" w:hAnsi="Verdana" w:cs="Arial"/>
                <w:b/>
              </w:rPr>
              <w:t>Código ANBIMA</w:t>
            </w:r>
            <w:r w:rsidR="00750320" w:rsidRPr="00F72AA0">
              <w:rPr>
                <w:rFonts w:ascii="Verdana" w:hAnsi="Verdana" w:cs="Arial"/>
                <w:bCs/>
              </w:rPr>
              <w:t>”</w:t>
            </w:r>
            <w:r w:rsidR="000F2132" w:rsidRPr="00F72AA0">
              <w:rPr>
                <w:rFonts w:ascii="Verdana" w:hAnsi="Verdana" w:cs="Arial"/>
                <w:bCs/>
              </w:rPr>
              <w:t xml:space="preserve">, </w:t>
            </w:r>
            <w:r w:rsidR="00750320" w:rsidRPr="00F72AA0">
              <w:rPr>
                <w:rFonts w:ascii="Verdana" w:hAnsi="Verdana" w:cs="Arial"/>
                <w:bCs/>
              </w:rPr>
              <w:t>“</w:t>
            </w:r>
            <w:r w:rsidR="000F2132" w:rsidRPr="00F72AA0">
              <w:rPr>
                <w:rFonts w:ascii="Verdana" w:hAnsi="Verdana" w:cs="Arial"/>
                <w:b/>
              </w:rPr>
              <w:t>Regras e Procedimentos</w:t>
            </w:r>
            <w:r w:rsidR="00750320" w:rsidRPr="00F72AA0">
              <w:rPr>
                <w:rFonts w:ascii="Verdana" w:hAnsi="Verdana" w:cs="Arial"/>
                <w:bCs/>
              </w:rPr>
              <w:t>”</w:t>
            </w:r>
            <w:r w:rsidR="000F2132" w:rsidRPr="00F72AA0">
              <w:rPr>
                <w:rFonts w:ascii="Verdana" w:hAnsi="Verdana" w:cs="Arial"/>
                <w:bCs/>
              </w:rPr>
              <w:t xml:space="preserve"> e </w:t>
            </w:r>
            <w:r w:rsidR="00750320" w:rsidRPr="00F72AA0">
              <w:rPr>
                <w:rFonts w:ascii="Verdana" w:hAnsi="Verdana" w:cs="Arial"/>
                <w:bCs/>
              </w:rPr>
              <w:t>“</w:t>
            </w:r>
            <w:r w:rsidR="000F2132" w:rsidRPr="00F72AA0">
              <w:rPr>
                <w:rFonts w:ascii="Verdana" w:hAnsi="Verdana" w:cs="Arial"/>
                <w:b/>
              </w:rPr>
              <w:t>ANBIMA</w:t>
            </w:r>
            <w:r w:rsidR="00750320" w:rsidRPr="00F72AA0">
              <w:rPr>
                <w:rFonts w:ascii="Verdana" w:hAnsi="Verdana" w:cs="Arial"/>
                <w:bCs/>
              </w:rPr>
              <w:t>”</w:t>
            </w:r>
            <w:r w:rsidR="002B0752" w:rsidRPr="00F72AA0">
              <w:rPr>
                <w:rFonts w:ascii="Verdana" w:hAnsi="Verdana" w:cs="Arial"/>
                <w:bCs/>
              </w:rPr>
              <w:t xml:space="preserve">, respectivamente) e demais normativos aplicáveis, incluindo o Regulamento </w:t>
            </w:r>
            <w:r w:rsidR="00820EF5" w:rsidRPr="00F72AA0">
              <w:rPr>
                <w:rFonts w:ascii="Verdana" w:hAnsi="Verdana" w:cs="Arial"/>
                <w:bCs/>
              </w:rPr>
              <w:t xml:space="preserve">de Acesso do Nível </w:t>
            </w:r>
            <w:r w:rsidR="00637CB4" w:rsidRPr="00F72AA0">
              <w:rPr>
                <w:rFonts w:ascii="Verdana" w:hAnsi="Verdana" w:cs="Arial"/>
                <w:bCs/>
              </w:rPr>
              <w:t>2</w:t>
            </w:r>
            <w:r w:rsidR="002B0752" w:rsidRPr="00F72AA0">
              <w:rPr>
                <w:rFonts w:ascii="Verdana" w:hAnsi="Verdana" w:cs="Arial"/>
                <w:bCs/>
              </w:rPr>
              <w:t xml:space="preserve"> da B3 S.A. – Brasil, Bolsa, Balcão (</w:t>
            </w:r>
            <w:r w:rsidR="00750320" w:rsidRPr="00F72AA0">
              <w:rPr>
                <w:rFonts w:ascii="Verdana" w:hAnsi="Verdana" w:cs="Arial"/>
                <w:bCs/>
              </w:rPr>
              <w:t>“</w:t>
            </w:r>
            <w:r w:rsidR="002B0752" w:rsidRPr="00F72AA0">
              <w:rPr>
                <w:rFonts w:ascii="Verdana" w:hAnsi="Verdana" w:cs="Arial"/>
                <w:b/>
              </w:rPr>
              <w:t>B3</w:t>
            </w:r>
            <w:r w:rsidR="00750320" w:rsidRPr="00F72AA0">
              <w:rPr>
                <w:rFonts w:ascii="Verdana" w:hAnsi="Verdana" w:cs="Arial"/>
                <w:bCs/>
              </w:rPr>
              <w:t>”</w:t>
            </w:r>
            <w:r w:rsidR="002B0752" w:rsidRPr="00F72AA0">
              <w:rPr>
                <w:rFonts w:ascii="Verdana" w:hAnsi="Verdana" w:cs="Arial"/>
                <w:bCs/>
              </w:rPr>
              <w:t xml:space="preserve">, </w:t>
            </w:r>
            <w:r w:rsidR="00750320" w:rsidRPr="00F72AA0">
              <w:rPr>
                <w:rFonts w:ascii="Verdana" w:hAnsi="Verdana" w:cs="Arial"/>
                <w:bCs/>
              </w:rPr>
              <w:t>“</w:t>
            </w:r>
            <w:r w:rsidR="002B0752" w:rsidRPr="00F72AA0">
              <w:rPr>
                <w:rFonts w:ascii="Verdana" w:hAnsi="Verdana" w:cs="Arial"/>
                <w:b/>
              </w:rPr>
              <w:t xml:space="preserve">Regulamento do </w:t>
            </w:r>
            <w:r w:rsidR="00820EF5" w:rsidRPr="00F72AA0">
              <w:rPr>
                <w:rFonts w:ascii="Verdana" w:hAnsi="Verdana" w:cs="Arial"/>
                <w:b/>
              </w:rPr>
              <w:t xml:space="preserve">Nível </w:t>
            </w:r>
            <w:r w:rsidR="00C73025" w:rsidRPr="00F72AA0">
              <w:rPr>
                <w:rFonts w:ascii="Verdana" w:hAnsi="Verdana" w:cs="Arial"/>
                <w:b/>
              </w:rPr>
              <w:t>2</w:t>
            </w:r>
            <w:r w:rsidR="00750320" w:rsidRPr="00F72AA0">
              <w:rPr>
                <w:rFonts w:ascii="Verdana" w:hAnsi="Verdana" w:cs="Arial"/>
                <w:bCs/>
              </w:rPr>
              <w:t>”</w:t>
            </w:r>
            <w:r w:rsidR="002B0752" w:rsidRPr="00F72AA0">
              <w:rPr>
                <w:rFonts w:ascii="Verdana" w:hAnsi="Verdana" w:cs="Arial"/>
                <w:bCs/>
              </w:rPr>
              <w:t xml:space="preserve"> e </w:t>
            </w:r>
            <w:r w:rsidR="00750320" w:rsidRPr="00F72AA0">
              <w:rPr>
                <w:rFonts w:ascii="Verdana" w:hAnsi="Verdana" w:cs="Arial"/>
                <w:bCs/>
              </w:rPr>
              <w:t>“</w:t>
            </w:r>
            <w:r w:rsidR="00820EF5" w:rsidRPr="00F72AA0">
              <w:rPr>
                <w:rFonts w:ascii="Verdana" w:hAnsi="Verdana" w:cs="Arial"/>
                <w:b/>
              </w:rPr>
              <w:t xml:space="preserve">Nível </w:t>
            </w:r>
            <w:r w:rsidR="00C73025" w:rsidRPr="00F72AA0">
              <w:rPr>
                <w:rFonts w:ascii="Verdana" w:hAnsi="Verdana" w:cs="Arial"/>
                <w:b/>
              </w:rPr>
              <w:t>2</w:t>
            </w:r>
            <w:r w:rsidR="00750320" w:rsidRPr="00F72AA0">
              <w:rPr>
                <w:rFonts w:ascii="Verdana" w:hAnsi="Verdana" w:cs="Arial"/>
                <w:bCs/>
              </w:rPr>
              <w:t>”</w:t>
            </w:r>
            <w:r w:rsidR="002B0752" w:rsidRPr="00F72AA0">
              <w:rPr>
                <w:rFonts w:ascii="Verdana" w:hAnsi="Verdana" w:cs="Arial"/>
                <w:bCs/>
              </w:rPr>
              <w:t xml:space="preserve">, respectivamente) e o </w:t>
            </w:r>
            <w:r w:rsidR="00CB0C2E" w:rsidRPr="00F72AA0">
              <w:rPr>
                <w:rFonts w:ascii="Verdana" w:hAnsi="Verdana" w:cs="Arial"/>
                <w:bCs/>
              </w:rPr>
              <w:t>Manual de Procedimentos Operacionais da Câmara B3, emitido em 22 de dezembro de 2025</w:t>
            </w:r>
            <w:r w:rsidR="00CB0C2E" w:rsidRPr="00F72AA0" w:rsidDel="00CB0C2E">
              <w:rPr>
                <w:rFonts w:ascii="Verdana" w:hAnsi="Verdana" w:cs="Arial"/>
                <w:bCs/>
              </w:rPr>
              <w:t xml:space="preserve"> </w:t>
            </w:r>
            <w:r w:rsidR="002B0752" w:rsidRPr="00F72AA0">
              <w:rPr>
                <w:rFonts w:ascii="Verdana" w:hAnsi="Verdana" w:cs="Arial"/>
                <w:bCs/>
              </w:rPr>
              <w:t>(</w:t>
            </w:r>
            <w:r w:rsidR="00750320" w:rsidRPr="00F72AA0">
              <w:rPr>
                <w:rFonts w:ascii="Verdana" w:hAnsi="Verdana" w:cs="Arial"/>
                <w:bCs/>
              </w:rPr>
              <w:t>“</w:t>
            </w:r>
            <w:r w:rsidR="00CB0C2E" w:rsidRPr="00F72AA0">
              <w:rPr>
                <w:rFonts w:ascii="Verdana" w:hAnsi="Verdana" w:cs="Arial"/>
                <w:b/>
              </w:rPr>
              <w:t>MPO da Câmara B3</w:t>
            </w:r>
            <w:r w:rsidR="00750320" w:rsidRPr="00F72AA0">
              <w:rPr>
                <w:rFonts w:ascii="Verdana" w:hAnsi="Verdana" w:cs="Arial"/>
                <w:bCs/>
              </w:rPr>
              <w:t>”</w:t>
            </w:r>
            <w:r w:rsidR="002B0752" w:rsidRPr="00F72AA0">
              <w:rPr>
                <w:rFonts w:ascii="Verdana" w:hAnsi="Verdana" w:cs="Arial"/>
                <w:bCs/>
              </w:rPr>
              <w:t>)</w:t>
            </w:r>
            <w:r w:rsidRPr="00F72AA0">
              <w:rPr>
                <w:rFonts w:ascii="Verdana" w:hAnsi="Verdana" w:cs="Arial"/>
                <w:bCs/>
              </w:rPr>
              <w:t xml:space="preserve">, com a participação de instituições com autorização de acesso para a custódia de ativos no ambiente da B3 na categoria agentes de custódia, devidamente habilitadas para atuar </w:t>
            </w:r>
            <w:r w:rsidR="008E0560" w:rsidRPr="00F72AA0">
              <w:rPr>
                <w:rFonts w:ascii="Verdana" w:hAnsi="Verdana" w:cs="Arial"/>
                <w:bCs/>
              </w:rPr>
              <w:t xml:space="preserve">de </w:t>
            </w:r>
            <w:r w:rsidR="00E853B7" w:rsidRPr="00F72AA0">
              <w:rPr>
                <w:rFonts w:ascii="Verdana" w:hAnsi="Verdana" w:cs="Arial"/>
                <w:bCs/>
              </w:rPr>
              <w:t>forma a dar cumprimento ao disposto no artigo 53</w:t>
            </w:r>
            <w:r w:rsidR="0074074C" w:rsidRPr="00F72AA0">
              <w:rPr>
                <w:rFonts w:ascii="Verdana" w:hAnsi="Verdana" w:cs="Arial"/>
                <w:bCs/>
              </w:rPr>
              <w:t xml:space="preserve">, </w:t>
            </w:r>
            <w:r w:rsidR="0074074C" w:rsidRPr="00F72AA0">
              <w:rPr>
                <w:rFonts w:ascii="Verdana" w:hAnsi="Verdana" w:cs="Arial"/>
                <w:bCs/>
                <w:i/>
                <w:iCs/>
              </w:rPr>
              <w:t>caput</w:t>
            </w:r>
            <w:r w:rsidR="0074074C" w:rsidRPr="00F72AA0">
              <w:rPr>
                <w:rFonts w:ascii="Verdana" w:hAnsi="Verdana" w:cs="Arial"/>
                <w:bCs/>
              </w:rPr>
              <w:t>,</w:t>
            </w:r>
            <w:r w:rsidR="00E853B7" w:rsidRPr="00F72AA0">
              <w:rPr>
                <w:rFonts w:ascii="Verdana" w:hAnsi="Verdana" w:cs="Arial"/>
                <w:bCs/>
              </w:rPr>
              <w:t xml:space="preserve"> da Resolução CVM 160 e assegurar a participação dos </w:t>
            </w:r>
            <w:r w:rsidR="008E0560" w:rsidRPr="00F72AA0">
              <w:rPr>
                <w:rFonts w:ascii="Verdana" w:hAnsi="Verdana" w:cs="Arial"/>
                <w:bCs/>
              </w:rPr>
              <w:t xml:space="preserve">atuais </w:t>
            </w:r>
            <w:r w:rsidR="00E853B7" w:rsidRPr="00F72AA0">
              <w:rPr>
                <w:rFonts w:ascii="Verdana" w:hAnsi="Verdana" w:cs="Arial"/>
                <w:bCs/>
              </w:rPr>
              <w:t xml:space="preserve">Acionistas na Oferta, </w:t>
            </w:r>
            <w:r w:rsidR="008E0560" w:rsidRPr="00F72AA0">
              <w:rPr>
                <w:rFonts w:ascii="Verdana" w:hAnsi="Verdana" w:cs="Arial"/>
                <w:bCs/>
              </w:rPr>
              <w:t>por meio de</w:t>
            </w:r>
            <w:r w:rsidR="00E853B7" w:rsidRPr="00F72AA0">
              <w:rPr>
                <w:rFonts w:ascii="Verdana" w:hAnsi="Verdana" w:cs="Arial"/>
                <w:bCs/>
              </w:rPr>
              <w:t xml:space="preserve"> prioridade para subscrição de até a totalidade das Ações a serem colocadas </w:t>
            </w:r>
            <w:r w:rsidR="008E0560" w:rsidRPr="00F72AA0">
              <w:rPr>
                <w:rFonts w:ascii="Verdana" w:hAnsi="Verdana" w:cs="Arial"/>
                <w:bCs/>
              </w:rPr>
              <w:t>no âmbito</w:t>
            </w:r>
            <w:r w:rsidR="00E853B7" w:rsidRPr="00F72AA0">
              <w:rPr>
                <w:rFonts w:ascii="Verdana" w:hAnsi="Verdana" w:cs="Arial"/>
                <w:bCs/>
              </w:rPr>
              <w:t xml:space="preserve"> da Oferta (</w:t>
            </w:r>
            <w:r w:rsidR="00750320" w:rsidRPr="00F72AA0">
              <w:rPr>
                <w:rFonts w:ascii="Verdana" w:hAnsi="Verdana" w:cs="Arial"/>
                <w:bCs/>
              </w:rPr>
              <w:t>“</w:t>
            </w:r>
            <w:r w:rsidR="00E853B7" w:rsidRPr="00F72AA0">
              <w:rPr>
                <w:rFonts w:ascii="Verdana" w:hAnsi="Verdana" w:cs="Arial"/>
                <w:b/>
              </w:rPr>
              <w:t>Direito de Prioridade</w:t>
            </w:r>
            <w:r w:rsidR="00750320" w:rsidRPr="00F72AA0">
              <w:rPr>
                <w:rFonts w:ascii="Verdana" w:hAnsi="Verdana" w:cs="Arial"/>
                <w:bCs/>
              </w:rPr>
              <w:t>”</w:t>
            </w:r>
            <w:r w:rsidR="00E853B7" w:rsidRPr="00F72AA0">
              <w:rPr>
                <w:rFonts w:ascii="Verdana" w:hAnsi="Verdana" w:cs="Arial"/>
                <w:bCs/>
              </w:rPr>
              <w:t>).</w:t>
            </w:r>
          </w:p>
          <w:p w14:paraId="19E124A7" w14:textId="77777777" w:rsidR="00ED7F82" w:rsidRDefault="00ED7F82" w:rsidP="006A49F4">
            <w:pPr>
              <w:pStyle w:val="Corpodetexto"/>
              <w:spacing w:line="320" w:lineRule="exact"/>
              <w:jc w:val="both"/>
              <w:rPr>
                <w:rFonts w:ascii="Verdana" w:hAnsi="Verdana" w:cs="Arial"/>
                <w:bCs/>
              </w:rPr>
            </w:pPr>
          </w:p>
          <w:p w14:paraId="7AB5C554" w14:textId="5A6A22E0" w:rsidR="00ED7F82" w:rsidRPr="00ED7F82" w:rsidRDefault="00ED7F82" w:rsidP="006A49F4">
            <w:pPr>
              <w:pStyle w:val="Corpodetexto"/>
              <w:spacing w:line="320" w:lineRule="exact"/>
              <w:jc w:val="both"/>
              <w:rPr>
                <w:rFonts w:ascii="Verdana" w:hAnsi="Verdana" w:cs="Arial"/>
                <w:bCs/>
              </w:rPr>
            </w:pPr>
            <w:r w:rsidRPr="00ED7F82">
              <w:rPr>
                <w:rFonts w:ascii="Verdana" w:hAnsi="Verdana" w:cs="Arial"/>
                <w:b/>
                <w:bCs/>
              </w:rPr>
              <w:t xml:space="preserve">Em 22 de janeiro de 2026, a administração da Companhia convocou Assembleia Geral Extraordinária de acionistas, a ser realizada em 12 de fevereiro de 2026, que deliberará, dentre outras matérias, sobre o grupamento da totalidade das ações ordinárias de emissão da Companhia, na proporção de 75 ações para 1 ação (fator de grupamento), sem modificação do valor do capital social da Companhia (“Grupamento”). Caso </w:t>
            </w:r>
            <w:r w:rsidRPr="00ED7F82">
              <w:rPr>
                <w:rFonts w:ascii="Verdana" w:hAnsi="Verdana" w:cs="Arial"/>
                <w:b/>
                <w:bCs/>
              </w:rPr>
              <w:lastRenderedPageBreak/>
              <w:t>aprovado, o Grupamento será concluído antes da Data de Liquidação e, dessa forma, as Cestas de Ações e os Lotes de Ações serão entregues aos Acionistas e aos Investidores Profissionais, respectivamente, considerando o Grupamento no fator acima mencionado. Nesse sentido, os acionistas que subscreverem Cestas de Ações no âmbito da Oferta Prioritária receberão, após o Grupamento, 1.727.900 ações por Cesta de Ações.</w:t>
            </w:r>
          </w:p>
          <w:p w14:paraId="3D12E596" w14:textId="49C06EDC" w:rsidR="007E5AD8" w:rsidRPr="00F72AA0" w:rsidRDefault="007E5AD8" w:rsidP="006A49F4">
            <w:pPr>
              <w:pStyle w:val="HOMEBRBodyText"/>
              <w:keepLines w:val="0"/>
              <w:spacing w:after="0" w:line="320" w:lineRule="exact"/>
              <w:jc w:val="both"/>
              <w:rPr>
                <w:rFonts w:ascii="Verdana" w:hAnsi="Verdana" w:cs="Arial"/>
                <w:bCs/>
                <w:sz w:val="18"/>
                <w:szCs w:val="18"/>
              </w:rPr>
            </w:pPr>
          </w:p>
        </w:tc>
        <w:tc>
          <w:tcPr>
            <w:tcW w:w="5168" w:type="dxa"/>
          </w:tcPr>
          <w:p w14:paraId="67E2D676" w14:textId="40685F33" w:rsidR="009C570D" w:rsidRPr="00F72AA0" w:rsidRDefault="001B305F" w:rsidP="006A49F4">
            <w:pPr>
              <w:pStyle w:val="Corpodetexto"/>
              <w:tabs>
                <w:tab w:val="left" w:pos="0"/>
                <w:tab w:val="left" w:pos="817"/>
              </w:tabs>
              <w:spacing w:line="320" w:lineRule="exact"/>
              <w:jc w:val="both"/>
              <w:rPr>
                <w:rFonts w:ascii="Verdana" w:hAnsi="Verdana" w:cs="Arial"/>
                <w:lang w:val="en-US"/>
              </w:rPr>
            </w:pPr>
            <w:r w:rsidRPr="00F72AA0">
              <w:rPr>
                <w:rFonts w:ascii="Verdana" w:hAnsi="Verdana" w:cs="Arial"/>
                <w:lang w:val="en-US"/>
              </w:rPr>
              <w:lastRenderedPageBreak/>
              <w:t xml:space="preserve">The </w:t>
            </w:r>
            <w:r w:rsidR="00473862" w:rsidRPr="00F72AA0">
              <w:rPr>
                <w:rFonts w:ascii="Verdana" w:hAnsi="Verdana" w:cs="Arial"/>
                <w:lang w:val="en-US"/>
              </w:rPr>
              <w:t>Offering</w:t>
            </w:r>
            <w:r w:rsidRPr="00F72AA0">
              <w:rPr>
                <w:rFonts w:ascii="Verdana" w:hAnsi="Verdana" w:cs="Arial"/>
                <w:lang w:val="en-US"/>
              </w:rPr>
              <w:t xml:space="preserve"> consist</w:t>
            </w:r>
            <w:r w:rsidR="000417C2" w:rsidRPr="00F72AA0">
              <w:rPr>
                <w:rFonts w:ascii="Verdana" w:hAnsi="Verdana" w:cs="Arial"/>
                <w:lang w:val="en-US"/>
              </w:rPr>
              <w:t>s</w:t>
            </w:r>
            <w:r w:rsidRPr="00F72AA0">
              <w:rPr>
                <w:rFonts w:ascii="Verdana" w:hAnsi="Verdana" w:cs="Arial"/>
                <w:lang w:val="en-US"/>
              </w:rPr>
              <w:t xml:space="preserve"> in the public </w:t>
            </w:r>
            <w:r w:rsidR="004179F2" w:rsidRPr="00F72AA0">
              <w:rPr>
                <w:rFonts w:ascii="Verdana" w:hAnsi="Verdana" w:cs="Arial"/>
                <w:lang w:val="en-US"/>
              </w:rPr>
              <w:t xml:space="preserve">primary </w:t>
            </w:r>
            <w:r w:rsidR="00473862" w:rsidRPr="00F72AA0">
              <w:rPr>
                <w:rFonts w:ascii="Verdana" w:hAnsi="Verdana" w:cs="Arial"/>
                <w:lang w:val="en-US"/>
              </w:rPr>
              <w:t>offering</w:t>
            </w:r>
            <w:r w:rsidRPr="00F72AA0">
              <w:rPr>
                <w:rFonts w:ascii="Verdana" w:hAnsi="Verdana" w:cs="Arial"/>
                <w:lang w:val="en-US"/>
              </w:rPr>
              <w:t xml:space="preserve"> of</w:t>
            </w:r>
            <w:r w:rsidR="0042661B" w:rsidRPr="00F72AA0">
              <w:rPr>
                <w:rFonts w:ascii="Verdana" w:hAnsi="Verdana" w:cs="Arial"/>
                <w:lang w:val="en-US"/>
              </w:rPr>
              <w:t xml:space="preserve"> up to</w:t>
            </w:r>
            <w:r w:rsidR="00B03BDB" w:rsidRPr="00F72AA0">
              <w:rPr>
                <w:rFonts w:ascii="Verdana" w:hAnsi="Verdana" w:cs="Arial"/>
                <w:bCs/>
                <w:lang w:val="en-US"/>
              </w:rPr>
              <w:t xml:space="preserve"> </w:t>
            </w:r>
            <w:r w:rsidR="00F72AA0" w:rsidRPr="008A1F8B">
              <w:rPr>
                <w:rFonts w:ascii="Verdana" w:hAnsi="Verdana" w:cs="Arial"/>
                <w:bCs/>
                <w:lang w:val="en-US"/>
              </w:rPr>
              <w:t>3,410,828,076,292,500</w:t>
            </w:r>
            <w:r w:rsidR="00CE6024" w:rsidRPr="00F72AA0">
              <w:rPr>
                <w:rFonts w:ascii="Verdana" w:hAnsi="Verdana" w:cs="Arial"/>
                <w:lang w:val="en-US"/>
              </w:rPr>
              <w:t xml:space="preserve"> </w:t>
            </w:r>
            <w:r w:rsidR="00446770" w:rsidRPr="00F72AA0">
              <w:rPr>
                <w:rFonts w:ascii="Verdana" w:hAnsi="Verdana" w:cs="Arial"/>
                <w:lang w:val="en-US"/>
              </w:rPr>
              <w:t xml:space="preserve">new </w:t>
            </w:r>
            <w:r w:rsidRPr="00F72AA0">
              <w:rPr>
                <w:rFonts w:ascii="Verdana" w:hAnsi="Verdana" w:cs="Arial"/>
                <w:lang w:val="en-US"/>
              </w:rPr>
              <w:t>Shares</w:t>
            </w:r>
            <w:r w:rsidR="00032CB6" w:rsidRPr="00F72AA0">
              <w:rPr>
                <w:rFonts w:ascii="Verdana" w:hAnsi="Verdana" w:cs="Arial"/>
                <w:bCs/>
                <w:lang w:val="en-US"/>
              </w:rPr>
              <w:t xml:space="preserve">, </w:t>
            </w:r>
            <w:r w:rsidR="000417C2" w:rsidRPr="00F72AA0">
              <w:rPr>
                <w:rFonts w:ascii="Verdana" w:hAnsi="Verdana" w:cs="Arial"/>
                <w:lang w:val="en-US"/>
              </w:rPr>
              <w:t xml:space="preserve">to be </w:t>
            </w:r>
            <w:r w:rsidRPr="00F72AA0">
              <w:rPr>
                <w:rFonts w:ascii="Verdana" w:hAnsi="Verdana" w:cs="Arial"/>
                <w:lang w:val="en-US"/>
              </w:rPr>
              <w:t>issued by the Company</w:t>
            </w:r>
            <w:r w:rsidR="00CB3C66" w:rsidRPr="00F72AA0">
              <w:rPr>
                <w:rFonts w:ascii="Verdana" w:hAnsi="Verdana" w:cs="Arial"/>
                <w:lang w:val="en-US"/>
              </w:rPr>
              <w:t xml:space="preserve">, </w:t>
            </w:r>
            <w:r w:rsidR="00032CB6" w:rsidRPr="00F72AA0">
              <w:rPr>
                <w:rFonts w:ascii="Verdana" w:hAnsi="Verdana" w:cs="Arial"/>
                <w:lang w:val="en-US"/>
              </w:rPr>
              <w:t xml:space="preserve">and to be carried out </w:t>
            </w:r>
            <w:r w:rsidRPr="00F72AA0">
              <w:rPr>
                <w:rFonts w:ascii="Verdana" w:hAnsi="Verdana" w:cs="Arial"/>
                <w:lang w:val="en-US"/>
              </w:rPr>
              <w:t>in the Federative Republic of Brazil (</w:t>
            </w:r>
            <w:r w:rsidR="00750320" w:rsidRPr="00F72AA0">
              <w:rPr>
                <w:rFonts w:ascii="Verdana" w:hAnsi="Verdana" w:cs="Arial"/>
                <w:lang w:val="en-US"/>
              </w:rPr>
              <w:t>“</w:t>
            </w:r>
            <w:r w:rsidRPr="00F72AA0">
              <w:rPr>
                <w:rFonts w:ascii="Verdana" w:hAnsi="Verdana" w:cs="Arial"/>
                <w:b/>
                <w:bCs/>
                <w:lang w:val="en-US"/>
              </w:rPr>
              <w:t>Brazil</w:t>
            </w:r>
            <w:r w:rsidR="00750320" w:rsidRPr="00F72AA0">
              <w:rPr>
                <w:rFonts w:ascii="Verdana" w:hAnsi="Verdana" w:cs="Arial"/>
                <w:lang w:val="en-US"/>
              </w:rPr>
              <w:t>”</w:t>
            </w:r>
            <w:r w:rsidRPr="00F72AA0">
              <w:rPr>
                <w:rFonts w:ascii="Verdana" w:hAnsi="Verdana" w:cs="Arial"/>
                <w:lang w:val="en-US"/>
              </w:rPr>
              <w:t xml:space="preserve">) at a non-organized OTC market under </w:t>
            </w:r>
            <w:r w:rsidR="00B10B76" w:rsidRPr="00F72AA0">
              <w:rPr>
                <w:rFonts w:ascii="Verdana" w:hAnsi="Verdana" w:cs="Arial"/>
                <w:lang w:val="en-US"/>
              </w:rPr>
              <w:t xml:space="preserve">the coordination of </w:t>
            </w:r>
            <w:r w:rsidR="00CB3C66" w:rsidRPr="00F72AA0">
              <w:rPr>
                <w:rFonts w:ascii="Verdana" w:hAnsi="Verdana" w:cs="Arial"/>
                <w:b/>
                <w:bCs/>
                <w:lang w:val="en-US"/>
              </w:rPr>
              <w:t xml:space="preserve">UBS </w:t>
            </w:r>
            <w:r w:rsidR="00B277C1" w:rsidRPr="00F72AA0">
              <w:rPr>
                <w:rFonts w:ascii="Verdana" w:hAnsi="Verdana" w:cs="Arial"/>
                <w:b/>
                <w:bCs/>
                <w:lang w:val="en-US"/>
              </w:rPr>
              <w:t>BB</w:t>
            </w:r>
            <w:r w:rsidR="00CB3C66" w:rsidRPr="00F72AA0">
              <w:rPr>
                <w:rFonts w:ascii="Verdana" w:hAnsi="Verdana" w:cs="Arial"/>
                <w:b/>
                <w:bCs/>
                <w:lang w:val="en-US"/>
              </w:rPr>
              <w:t xml:space="preserve"> Corretora de Câmbio, Títulos e Valores</w:t>
            </w:r>
            <w:r w:rsidR="00B03BDB" w:rsidRPr="00F72AA0">
              <w:rPr>
                <w:rFonts w:ascii="Verdana" w:hAnsi="Verdana" w:cs="Arial"/>
                <w:b/>
                <w:bCs/>
                <w:lang w:val="en-US"/>
              </w:rPr>
              <w:t xml:space="preserve"> S.A.</w:t>
            </w:r>
            <w:r w:rsidR="00B10B76" w:rsidRPr="00F72AA0">
              <w:rPr>
                <w:rFonts w:ascii="Verdana" w:hAnsi="Verdana" w:cs="Arial"/>
                <w:b/>
                <w:bCs/>
                <w:lang w:val="en-US"/>
              </w:rPr>
              <w:t xml:space="preserve"> </w:t>
            </w:r>
            <w:r w:rsidR="00B10B76" w:rsidRPr="00F72AA0">
              <w:rPr>
                <w:rFonts w:ascii="Verdana" w:hAnsi="Verdana" w:cs="Arial"/>
                <w:bCs/>
                <w:lang w:val="en-US"/>
              </w:rPr>
              <w:t>(</w:t>
            </w:r>
            <w:r w:rsidR="00750320" w:rsidRPr="00F72AA0">
              <w:rPr>
                <w:rFonts w:ascii="Verdana" w:hAnsi="Verdana" w:cs="Arial"/>
                <w:bCs/>
                <w:lang w:val="en-US"/>
              </w:rPr>
              <w:t>“</w:t>
            </w:r>
            <w:r w:rsidR="00CB3C66" w:rsidRPr="00F72AA0">
              <w:rPr>
                <w:rFonts w:ascii="Verdana" w:hAnsi="Verdana" w:cs="Arial"/>
                <w:b/>
                <w:lang w:val="en-US"/>
              </w:rPr>
              <w:t>UBS</w:t>
            </w:r>
            <w:r w:rsidR="00750320" w:rsidRPr="00F72AA0">
              <w:rPr>
                <w:rFonts w:ascii="Verdana" w:hAnsi="Verdana" w:cs="Arial"/>
                <w:bCs/>
                <w:lang w:val="en-US"/>
              </w:rPr>
              <w:t>”</w:t>
            </w:r>
            <w:r w:rsidR="00B10B76" w:rsidRPr="00F72AA0">
              <w:rPr>
                <w:rFonts w:ascii="Verdana" w:hAnsi="Verdana" w:cs="Arial"/>
                <w:bCs/>
                <w:lang w:val="en-US"/>
              </w:rPr>
              <w:t xml:space="preserve"> or </w:t>
            </w:r>
            <w:r w:rsidR="00750320" w:rsidRPr="00F72AA0">
              <w:rPr>
                <w:rFonts w:ascii="Verdana" w:hAnsi="Verdana" w:cs="Arial"/>
                <w:bCs/>
                <w:lang w:val="en-US"/>
              </w:rPr>
              <w:t>“</w:t>
            </w:r>
            <w:r w:rsidR="00B10B76" w:rsidRPr="00F72AA0">
              <w:rPr>
                <w:rFonts w:ascii="Verdana" w:hAnsi="Verdana" w:cs="Arial"/>
                <w:b/>
                <w:lang w:val="en-US"/>
              </w:rPr>
              <w:t>Underwriter</w:t>
            </w:r>
            <w:r w:rsidR="00750320" w:rsidRPr="00F72AA0">
              <w:rPr>
                <w:rFonts w:ascii="Verdana" w:hAnsi="Verdana" w:cs="Arial"/>
                <w:bCs/>
                <w:lang w:val="en-US"/>
              </w:rPr>
              <w:t>”</w:t>
            </w:r>
            <w:r w:rsidR="00B10B76" w:rsidRPr="00F72AA0">
              <w:rPr>
                <w:rFonts w:ascii="Verdana" w:hAnsi="Verdana" w:cs="Arial"/>
                <w:bCs/>
                <w:lang w:val="en-US"/>
              </w:rPr>
              <w:t>)</w:t>
            </w:r>
            <w:r w:rsidRPr="00F72AA0">
              <w:rPr>
                <w:rFonts w:ascii="Verdana" w:hAnsi="Verdana" w:cs="Arial"/>
                <w:bCs/>
                <w:lang w:val="en-US"/>
              </w:rPr>
              <w:t>,</w:t>
            </w:r>
            <w:r w:rsidRPr="00F72AA0">
              <w:rPr>
                <w:rFonts w:ascii="Verdana" w:hAnsi="Verdana" w:cs="Arial"/>
                <w:lang w:val="en-US"/>
              </w:rPr>
              <w:t xml:space="preserve"> pursuant to the procedures under CVM Resolution 160, the </w:t>
            </w:r>
            <w:r w:rsidR="00434B0D" w:rsidRPr="00F72AA0">
              <w:rPr>
                <w:rFonts w:ascii="Verdana" w:hAnsi="Verdana" w:cs="Arial"/>
                <w:lang w:val="en-US"/>
              </w:rPr>
              <w:t>Brazilian Financial and Capital Markets Association - ANBIMA</w:t>
            </w:r>
            <w:r w:rsidR="00434B0D" w:rsidRPr="00F72AA0">
              <w:rPr>
                <w:rFonts w:ascii="Verdana" w:hAnsi="Verdana" w:cs="Arial"/>
                <w:b/>
                <w:bCs/>
                <w:lang w:val="en-US"/>
              </w:rPr>
              <w:t xml:space="preserve"> </w:t>
            </w:r>
            <w:r w:rsidR="00434B0D" w:rsidRPr="00F72AA0">
              <w:rPr>
                <w:rFonts w:ascii="Verdana" w:hAnsi="Verdana" w:cs="Arial"/>
                <w:lang w:val="en-US"/>
              </w:rPr>
              <w:t>(</w:t>
            </w:r>
            <w:r w:rsidR="00750320" w:rsidRPr="00F72AA0">
              <w:rPr>
                <w:rFonts w:ascii="Verdana" w:hAnsi="Verdana" w:cs="Arial"/>
                <w:lang w:val="en-US"/>
              </w:rPr>
              <w:t>“</w:t>
            </w:r>
            <w:r w:rsidRPr="00F72AA0">
              <w:rPr>
                <w:rFonts w:ascii="Verdana" w:hAnsi="Verdana" w:cs="Arial"/>
                <w:b/>
                <w:bCs/>
                <w:lang w:val="en-US"/>
              </w:rPr>
              <w:t>ANBIMA</w:t>
            </w:r>
            <w:r w:rsidR="00750320" w:rsidRPr="00F72AA0">
              <w:rPr>
                <w:rFonts w:ascii="Verdana" w:hAnsi="Verdana" w:cs="Arial"/>
                <w:lang w:val="en-US"/>
              </w:rPr>
              <w:t>”</w:t>
            </w:r>
            <w:r w:rsidR="00434B0D" w:rsidRPr="00F72AA0">
              <w:rPr>
                <w:rFonts w:ascii="Verdana" w:hAnsi="Verdana" w:cs="Arial"/>
                <w:lang w:val="en-US"/>
              </w:rPr>
              <w:t>)</w:t>
            </w:r>
            <w:r w:rsidRPr="00F72AA0">
              <w:rPr>
                <w:rFonts w:ascii="Verdana" w:hAnsi="Verdana" w:cs="Arial"/>
                <w:lang w:val="en-US"/>
              </w:rPr>
              <w:t xml:space="preserve"> </w:t>
            </w:r>
            <w:r w:rsidR="00750320" w:rsidRPr="00F72AA0">
              <w:rPr>
                <w:rFonts w:ascii="Verdana" w:hAnsi="Verdana" w:cs="Arial"/>
                <w:lang w:val="en-US"/>
              </w:rPr>
              <w:t>“</w:t>
            </w:r>
            <w:r w:rsidR="00B277C1" w:rsidRPr="00F72AA0">
              <w:rPr>
                <w:rFonts w:ascii="Verdana" w:hAnsi="Verdana" w:cs="Arial"/>
                <w:i/>
                <w:iCs/>
                <w:lang w:val="en-US"/>
              </w:rPr>
              <w:t>Código de Ofertas Públicas</w:t>
            </w:r>
            <w:r w:rsidR="00750320" w:rsidRPr="00F72AA0">
              <w:rPr>
                <w:rFonts w:ascii="Verdana" w:hAnsi="Verdana" w:cs="Arial"/>
                <w:lang w:val="en-US"/>
              </w:rPr>
              <w:t>”</w:t>
            </w:r>
            <w:r w:rsidRPr="00F72AA0">
              <w:rPr>
                <w:rFonts w:ascii="Verdana" w:hAnsi="Verdana" w:cs="Arial"/>
                <w:lang w:val="en-US"/>
              </w:rPr>
              <w:t xml:space="preserve"> (</w:t>
            </w:r>
            <w:r w:rsidR="00750320" w:rsidRPr="00F72AA0">
              <w:rPr>
                <w:rFonts w:ascii="Verdana" w:hAnsi="Verdana" w:cs="Arial"/>
                <w:lang w:val="en-US"/>
              </w:rPr>
              <w:t>“</w:t>
            </w:r>
            <w:r w:rsidRPr="00F72AA0">
              <w:rPr>
                <w:rFonts w:ascii="Verdana" w:hAnsi="Verdana" w:cs="Arial"/>
                <w:b/>
                <w:bCs/>
                <w:lang w:val="en-US"/>
              </w:rPr>
              <w:t>ANBIMA Code</w:t>
            </w:r>
            <w:r w:rsidR="00750320" w:rsidRPr="00F72AA0">
              <w:rPr>
                <w:rFonts w:ascii="Verdana" w:hAnsi="Verdana" w:cs="Arial"/>
                <w:lang w:val="en-US"/>
              </w:rPr>
              <w:t>”</w:t>
            </w:r>
            <w:r w:rsidRPr="00F72AA0">
              <w:rPr>
                <w:rFonts w:ascii="Verdana" w:hAnsi="Verdana" w:cs="Arial"/>
                <w:lang w:val="en-US"/>
              </w:rPr>
              <w:t>)</w:t>
            </w:r>
            <w:r w:rsidR="00CA6A08" w:rsidRPr="00F72AA0">
              <w:rPr>
                <w:rFonts w:ascii="Verdana" w:hAnsi="Verdana" w:cs="Arial"/>
                <w:lang w:val="en-US"/>
              </w:rPr>
              <w:t xml:space="preserve">, </w:t>
            </w:r>
            <w:r w:rsidR="00FC0CE3" w:rsidRPr="00F72AA0">
              <w:rPr>
                <w:rFonts w:ascii="Verdana" w:hAnsi="Verdana" w:cs="Arial"/>
                <w:lang w:val="en-US"/>
              </w:rPr>
              <w:t xml:space="preserve">and the </w:t>
            </w:r>
            <w:r w:rsidR="00750320" w:rsidRPr="00F72AA0">
              <w:rPr>
                <w:rFonts w:ascii="Verdana" w:hAnsi="Verdana" w:cs="Arial"/>
                <w:lang w:val="en-US"/>
              </w:rPr>
              <w:t>“</w:t>
            </w:r>
            <w:r w:rsidR="00B277C1" w:rsidRPr="00F72AA0">
              <w:rPr>
                <w:rFonts w:ascii="Verdana" w:hAnsi="Verdana" w:cs="Arial"/>
                <w:i/>
                <w:iCs/>
                <w:lang w:val="en-US"/>
              </w:rPr>
              <w:t>Regras e Procedimentos de Ofertas Públicas</w:t>
            </w:r>
            <w:r w:rsidR="00750320" w:rsidRPr="00F72AA0">
              <w:rPr>
                <w:rFonts w:ascii="Verdana" w:hAnsi="Verdana" w:cs="Arial"/>
                <w:lang w:val="en-US"/>
              </w:rPr>
              <w:t>”</w:t>
            </w:r>
            <w:r w:rsidR="00F94921" w:rsidRPr="00F72AA0">
              <w:rPr>
                <w:rFonts w:ascii="Verdana" w:hAnsi="Verdana" w:cs="Arial"/>
                <w:lang w:val="en-US"/>
              </w:rPr>
              <w:t xml:space="preserve">, in force </w:t>
            </w:r>
            <w:r w:rsidR="00446770" w:rsidRPr="00F72AA0">
              <w:rPr>
                <w:rFonts w:ascii="Verdana" w:hAnsi="Verdana" w:cs="Arial"/>
                <w:lang w:val="en-US"/>
              </w:rPr>
              <w:t>on the date of the Market Notice</w:t>
            </w:r>
            <w:r w:rsidR="00905E0A" w:rsidRPr="00F72AA0">
              <w:rPr>
                <w:rFonts w:ascii="Verdana" w:hAnsi="Verdana" w:cs="Arial"/>
                <w:lang w:val="en-US"/>
              </w:rPr>
              <w:t xml:space="preserve"> (</w:t>
            </w:r>
            <w:r w:rsidR="00750320" w:rsidRPr="00F72AA0">
              <w:rPr>
                <w:rFonts w:ascii="Verdana" w:hAnsi="Verdana" w:cs="Arial"/>
                <w:lang w:val="en-US"/>
              </w:rPr>
              <w:t>“</w:t>
            </w:r>
            <w:r w:rsidR="00905E0A" w:rsidRPr="00F72AA0">
              <w:rPr>
                <w:rFonts w:ascii="Verdana" w:hAnsi="Verdana" w:cs="Arial"/>
                <w:b/>
                <w:bCs/>
                <w:lang w:val="en-US"/>
              </w:rPr>
              <w:t>Rules and Procedures</w:t>
            </w:r>
            <w:r w:rsidR="00750320" w:rsidRPr="00F72AA0">
              <w:rPr>
                <w:rFonts w:ascii="Verdana" w:hAnsi="Verdana" w:cs="Arial"/>
                <w:lang w:val="en-US"/>
              </w:rPr>
              <w:t>”</w:t>
            </w:r>
            <w:r w:rsidR="00905E0A" w:rsidRPr="00F72AA0">
              <w:rPr>
                <w:rFonts w:ascii="Verdana" w:hAnsi="Verdana" w:cs="Arial"/>
                <w:lang w:val="en-US"/>
              </w:rPr>
              <w:t>)</w:t>
            </w:r>
            <w:r w:rsidR="00CA6A08" w:rsidRPr="00F72AA0">
              <w:rPr>
                <w:rFonts w:ascii="Verdana" w:hAnsi="Verdana" w:cs="Arial"/>
                <w:lang w:val="en-US"/>
              </w:rPr>
              <w:t>,</w:t>
            </w:r>
            <w:r w:rsidRPr="00F72AA0">
              <w:rPr>
                <w:rFonts w:ascii="Verdana" w:hAnsi="Verdana" w:cs="Arial"/>
                <w:lang w:val="en-US"/>
              </w:rPr>
              <w:t xml:space="preserve"> and other applicable provisions, including B3 S.A. – Brasil, Bolsa, Balcão</w:t>
            </w:r>
            <w:r w:rsidR="004F5D32" w:rsidRPr="00F72AA0">
              <w:rPr>
                <w:rFonts w:ascii="Verdana" w:hAnsi="Verdana" w:cs="Arial"/>
                <w:lang w:val="en-US"/>
              </w:rPr>
              <w:t xml:space="preserve"> (“</w:t>
            </w:r>
            <w:r w:rsidR="004F5D32" w:rsidRPr="00F72AA0">
              <w:rPr>
                <w:rFonts w:ascii="Verdana" w:hAnsi="Verdana" w:cs="Arial"/>
                <w:b/>
                <w:bCs/>
                <w:lang w:val="en-US"/>
              </w:rPr>
              <w:t>B3</w:t>
            </w:r>
            <w:r w:rsidR="004F5D32" w:rsidRPr="00F72AA0">
              <w:rPr>
                <w:rFonts w:ascii="Verdana" w:hAnsi="Verdana" w:cs="Arial"/>
                <w:lang w:val="en-US"/>
              </w:rPr>
              <w:t>”)</w:t>
            </w:r>
            <w:r w:rsidRPr="00F72AA0">
              <w:rPr>
                <w:rFonts w:ascii="Verdana" w:hAnsi="Verdana" w:cs="Arial"/>
                <w:lang w:val="en-US"/>
              </w:rPr>
              <w:t xml:space="preserve"> </w:t>
            </w:r>
            <w:r w:rsidR="00F94921" w:rsidRPr="00F72AA0">
              <w:rPr>
                <w:rFonts w:ascii="Verdana" w:hAnsi="Verdana" w:cs="Arial"/>
                <w:lang w:val="en-US"/>
              </w:rPr>
              <w:t xml:space="preserve">Nível </w:t>
            </w:r>
            <w:r w:rsidR="00C73025" w:rsidRPr="00F72AA0">
              <w:rPr>
                <w:rFonts w:ascii="Verdana" w:hAnsi="Verdana" w:cs="Arial"/>
                <w:lang w:val="en-US"/>
              </w:rPr>
              <w:t xml:space="preserve">2 </w:t>
            </w:r>
            <w:r w:rsidRPr="00F72AA0">
              <w:rPr>
                <w:rFonts w:ascii="Verdana" w:hAnsi="Verdana" w:cs="Arial"/>
                <w:lang w:val="en-US"/>
              </w:rPr>
              <w:t>Listing Regulation (</w:t>
            </w:r>
            <w:r w:rsidR="00750320" w:rsidRPr="00F72AA0">
              <w:rPr>
                <w:rFonts w:ascii="Verdana" w:hAnsi="Verdana" w:cs="Arial"/>
                <w:lang w:val="en-US"/>
              </w:rPr>
              <w:t>“</w:t>
            </w:r>
            <w:r w:rsidR="00F94921" w:rsidRPr="00F72AA0">
              <w:rPr>
                <w:rFonts w:ascii="Verdana" w:hAnsi="Verdana" w:cs="Arial"/>
                <w:b/>
                <w:bCs/>
                <w:lang w:val="en-US"/>
              </w:rPr>
              <w:t xml:space="preserve">Nível </w:t>
            </w:r>
            <w:r w:rsidR="00C73025" w:rsidRPr="00F72AA0">
              <w:rPr>
                <w:rFonts w:ascii="Verdana" w:hAnsi="Verdana" w:cs="Arial"/>
                <w:b/>
                <w:bCs/>
                <w:lang w:val="en-US"/>
              </w:rPr>
              <w:t xml:space="preserve">2 </w:t>
            </w:r>
            <w:r w:rsidRPr="00F72AA0">
              <w:rPr>
                <w:rFonts w:ascii="Verdana" w:hAnsi="Verdana" w:cs="Arial"/>
                <w:b/>
                <w:bCs/>
                <w:lang w:val="en-US"/>
              </w:rPr>
              <w:t>Regulation</w:t>
            </w:r>
            <w:r w:rsidR="00750320" w:rsidRPr="00F72AA0">
              <w:rPr>
                <w:rFonts w:ascii="Verdana" w:hAnsi="Verdana" w:cs="Arial"/>
                <w:lang w:val="en-US"/>
              </w:rPr>
              <w:t>”</w:t>
            </w:r>
            <w:r w:rsidRPr="00F72AA0">
              <w:rPr>
                <w:rFonts w:ascii="Verdana" w:hAnsi="Verdana" w:cs="Arial"/>
                <w:lang w:val="en-US"/>
              </w:rPr>
              <w:t xml:space="preserve">) and the </w:t>
            </w:r>
            <w:r w:rsidR="00CB0C2E" w:rsidRPr="00F72AA0">
              <w:rPr>
                <w:rFonts w:ascii="Verdana" w:hAnsi="Verdana" w:cs="Arial"/>
                <w:lang w:val="en-US"/>
              </w:rPr>
              <w:t>B3’s Chamber Operational Proceedings Manual, issued on December 22, 2025</w:t>
            </w:r>
            <w:r w:rsidRPr="00F72AA0">
              <w:rPr>
                <w:rFonts w:ascii="Verdana" w:hAnsi="Verdana" w:cs="Arial"/>
                <w:lang w:val="en-US"/>
              </w:rPr>
              <w:t xml:space="preserve"> (</w:t>
            </w:r>
            <w:r w:rsidR="00750320" w:rsidRPr="00F72AA0">
              <w:rPr>
                <w:rFonts w:ascii="Verdana" w:hAnsi="Verdana" w:cs="Arial"/>
                <w:lang w:val="en-US"/>
              </w:rPr>
              <w:t>“</w:t>
            </w:r>
            <w:r w:rsidR="00CB0C2E" w:rsidRPr="00F72AA0">
              <w:rPr>
                <w:rFonts w:ascii="Verdana" w:hAnsi="Verdana" w:cs="Arial"/>
                <w:b/>
                <w:bCs/>
                <w:lang w:val="en-US"/>
              </w:rPr>
              <w:t>B3 Chamber MPO</w:t>
            </w:r>
            <w:r w:rsidR="00750320" w:rsidRPr="00F72AA0">
              <w:rPr>
                <w:rFonts w:ascii="Verdana" w:hAnsi="Verdana" w:cs="Arial"/>
                <w:lang w:val="en-US"/>
              </w:rPr>
              <w:t>”</w:t>
            </w:r>
            <w:r w:rsidRPr="00F72AA0">
              <w:rPr>
                <w:rFonts w:ascii="Verdana" w:hAnsi="Verdana" w:cs="Arial"/>
                <w:lang w:val="en-US"/>
              </w:rPr>
              <w:t xml:space="preserve">), with the participation of institutions with </w:t>
            </w:r>
            <w:r w:rsidR="004F5D32" w:rsidRPr="00F72AA0">
              <w:rPr>
                <w:rFonts w:ascii="Verdana" w:hAnsi="Verdana" w:cs="Arial"/>
                <w:lang w:val="en-US"/>
              </w:rPr>
              <w:t>authorized access to act as custody agents within B3</w:t>
            </w:r>
            <w:r w:rsidRPr="00F72AA0">
              <w:rPr>
                <w:rFonts w:ascii="Verdana" w:hAnsi="Verdana" w:cs="Arial"/>
                <w:lang w:val="en-US"/>
              </w:rPr>
              <w:t>, duly cleared to do business pursuant to and comply with the provision under article 53</w:t>
            </w:r>
            <w:r w:rsidR="0055012B" w:rsidRPr="00F72AA0">
              <w:rPr>
                <w:rFonts w:ascii="Verdana" w:hAnsi="Verdana" w:cs="Arial"/>
                <w:lang w:val="en-US"/>
              </w:rPr>
              <w:t xml:space="preserve">, </w:t>
            </w:r>
            <w:r w:rsidR="0055012B" w:rsidRPr="00F72AA0">
              <w:rPr>
                <w:rFonts w:ascii="Verdana" w:hAnsi="Verdana" w:cs="Arial"/>
                <w:i/>
                <w:iCs/>
                <w:lang w:val="en-US"/>
              </w:rPr>
              <w:t>caput</w:t>
            </w:r>
            <w:r w:rsidR="0055012B" w:rsidRPr="00F72AA0">
              <w:rPr>
                <w:rFonts w:ascii="Verdana" w:hAnsi="Verdana" w:cs="Arial"/>
                <w:lang w:val="en-US"/>
              </w:rPr>
              <w:t>,</w:t>
            </w:r>
            <w:r w:rsidRPr="00F72AA0">
              <w:rPr>
                <w:rFonts w:ascii="Verdana" w:hAnsi="Verdana" w:cs="Arial"/>
                <w:lang w:val="en-US"/>
              </w:rPr>
              <w:t xml:space="preserve"> of CVM Resolution 160 and ensure the participation of the current </w:t>
            </w:r>
            <w:r w:rsidRPr="00F72AA0">
              <w:rPr>
                <w:rFonts w:ascii="Verdana" w:eastAsiaTheme="minorHAnsi" w:hAnsi="Verdana" w:cs="Arial"/>
                <w:lang w:val="en-US"/>
              </w:rPr>
              <w:t>Shareholders</w:t>
            </w:r>
            <w:r w:rsidRPr="00F72AA0">
              <w:rPr>
                <w:rFonts w:ascii="Verdana" w:hAnsi="Verdana" w:cs="Arial"/>
                <w:lang w:val="en-US"/>
              </w:rPr>
              <w:t xml:space="preserve"> in </w:t>
            </w:r>
            <w:r w:rsidR="008E0560" w:rsidRPr="00F72AA0">
              <w:rPr>
                <w:rFonts w:ascii="Verdana" w:hAnsi="Verdana" w:cs="Arial"/>
                <w:lang w:val="en-US"/>
              </w:rPr>
              <w:t xml:space="preserve">their priority </w:t>
            </w:r>
            <w:r w:rsidRPr="00F72AA0">
              <w:rPr>
                <w:rFonts w:ascii="Verdana" w:hAnsi="Verdana" w:cs="Arial"/>
                <w:lang w:val="en-US"/>
              </w:rPr>
              <w:t xml:space="preserve">to subscribe </w:t>
            </w:r>
            <w:r w:rsidR="008E0560" w:rsidRPr="00F72AA0">
              <w:rPr>
                <w:rFonts w:ascii="Verdana" w:hAnsi="Verdana" w:cs="Arial"/>
                <w:lang w:val="en-US"/>
              </w:rPr>
              <w:t>up to</w:t>
            </w:r>
            <w:r w:rsidRPr="00F72AA0">
              <w:rPr>
                <w:rFonts w:ascii="Verdana" w:hAnsi="Verdana" w:cs="Arial"/>
                <w:lang w:val="en-US"/>
              </w:rPr>
              <w:t xml:space="preserve"> the totality of the Shares </w:t>
            </w:r>
            <w:r w:rsidR="008E0560" w:rsidRPr="00F72AA0">
              <w:rPr>
                <w:rFonts w:ascii="Verdana" w:hAnsi="Verdana" w:cs="Arial"/>
                <w:lang w:val="en-US"/>
              </w:rPr>
              <w:t xml:space="preserve">to be placed through the </w:t>
            </w:r>
            <w:r w:rsidR="00473862" w:rsidRPr="00F72AA0">
              <w:rPr>
                <w:rFonts w:ascii="Verdana" w:hAnsi="Verdana" w:cs="Arial"/>
                <w:lang w:val="en-US"/>
              </w:rPr>
              <w:t>Offering</w:t>
            </w:r>
            <w:r w:rsidR="008E0560" w:rsidRPr="00F72AA0">
              <w:rPr>
                <w:rFonts w:ascii="Verdana" w:hAnsi="Verdana" w:cs="Arial"/>
                <w:lang w:val="en-US"/>
              </w:rPr>
              <w:t xml:space="preserve"> </w:t>
            </w:r>
            <w:r w:rsidRPr="00F72AA0">
              <w:rPr>
                <w:rFonts w:ascii="Verdana" w:hAnsi="Verdana" w:cs="Arial"/>
                <w:lang w:val="en-US"/>
              </w:rPr>
              <w:t>(</w:t>
            </w:r>
            <w:r w:rsidR="00750320" w:rsidRPr="00F72AA0">
              <w:rPr>
                <w:rFonts w:ascii="Verdana" w:hAnsi="Verdana" w:cs="Arial"/>
                <w:lang w:val="en-US"/>
              </w:rPr>
              <w:t>“</w:t>
            </w:r>
            <w:r w:rsidRPr="00F72AA0">
              <w:rPr>
                <w:rFonts w:ascii="Verdana" w:hAnsi="Verdana" w:cs="Arial"/>
                <w:b/>
                <w:bCs/>
                <w:lang w:val="en-US"/>
              </w:rPr>
              <w:t>Priority</w:t>
            </w:r>
            <w:r w:rsidR="004F5D32" w:rsidRPr="00F72AA0">
              <w:rPr>
                <w:rFonts w:ascii="Verdana" w:hAnsi="Verdana" w:cs="Arial"/>
                <w:b/>
                <w:bCs/>
                <w:lang w:val="en-US"/>
              </w:rPr>
              <w:t xml:space="preserve"> Subscription</w:t>
            </w:r>
            <w:r w:rsidRPr="00F72AA0">
              <w:rPr>
                <w:rFonts w:ascii="Verdana" w:hAnsi="Verdana" w:cs="Arial"/>
                <w:b/>
                <w:bCs/>
                <w:lang w:val="en-US"/>
              </w:rPr>
              <w:t xml:space="preserve"> Right</w:t>
            </w:r>
            <w:r w:rsidR="00750320" w:rsidRPr="00F72AA0">
              <w:rPr>
                <w:rFonts w:ascii="Verdana" w:hAnsi="Verdana" w:cs="Arial"/>
                <w:lang w:val="en-US"/>
              </w:rPr>
              <w:t>”</w:t>
            </w:r>
            <w:r w:rsidRPr="00F72AA0">
              <w:rPr>
                <w:rFonts w:ascii="Verdana" w:hAnsi="Verdana" w:cs="Arial"/>
                <w:lang w:val="en-US"/>
              </w:rPr>
              <w:t>)</w:t>
            </w:r>
            <w:r w:rsidR="003E4A35" w:rsidRPr="00F72AA0">
              <w:rPr>
                <w:rFonts w:ascii="Verdana" w:hAnsi="Verdana" w:cs="Arial"/>
                <w:lang w:val="en-US"/>
              </w:rPr>
              <w:t>.</w:t>
            </w:r>
          </w:p>
          <w:p w14:paraId="0CC3CB62" w14:textId="77777777" w:rsidR="007E5AD8" w:rsidRDefault="007E5AD8" w:rsidP="006A49F4">
            <w:pPr>
              <w:pStyle w:val="Corpodetexto"/>
              <w:tabs>
                <w:tab w:val="left" w:pos="0"/>
                <w:tab w:val="left" w:pos="817"/>
              </w:tabs>
              <w:spacing w:line="320" w:lineRule="exact"/>
              <w:jc w:val="both"/>
              <w:rPr>
                <w:rFonts w:ascii="Verdana" w:hAnsi="Verdana" w:cs="Arial"/>
                <w:lang w:val="en-US"/>
              </w:rPr>
            </w:pPr>
          </w:p>
          <w:p w14:paraId="0D0BE268" w14:textId="77777777" w:rsidR="00ED7F82" w:rsidRDefault="00ED7F82" w:rsidP="006A49F4">
            <w:pPr>
              <w:pStyle w:val="Corpodetexto"/>
              <w:tabs>
                <w:tab w:val="left" w:pos="0"/>
                <w:tab w:val="left" w:pos="817"/>
              </w:tabs>
              <w:spacing w:line="320" w:lineRule="exact"/>
              <w:jc w:val="both"/>
              <w:rPr>
                <w:rFonts w:ascii="Verdana" w:hAnsi="Verdana" w:cs="Arial"/>
                <w:lang w:val="en-US"/>
              </w:rPr>
            </w:pPr>
          </w:p>
          <w:p w14:paraId="48CC3360" w14:textId="77777777" w:rsidR="00ED7F82" w:rsidRDefault="00ED7F82" w:rsidP="006A49F4">
            <w:pPr>
              <w:pStyle w:val="Corpodetexto"/>
              <w:tabs>
                <w:tab w:val="left" w:pos="0"/>
                <w:tab w:val="left" w:pos="817"/>
              </w:tabs>
              <w:spacing w:line="320" w:lineRule="exact"/>
              <w:jc w:val="both"/>
              <w:rPr>
                <w:rFonts w:ascii="Verdana" w:hAnsi="Verdana" w:cs="Arial"/>
                <w:lang w:val="en-US"/>
              </w:rPr>
            </w:pPr>
          </w:p>
          <w:p w14:paraId="737D7158" w14:textId="77777777" w:rsidR="00ED7F82" w:rsidRDefault="00ED7F82" w:rsidP="006A49F4">
            <w:pPr>
              <w:pStyle w:val="Corpodetexto"/>
              <w:tabs>
                <w:tab w:val="left" w:pos="0"/>
                <w:tab w:val="left" w:pos="817"/>
              </w:tabs>
              <w:spacing w:line="320" w:lineRule="exact"/>
              <w:jc w:val="both"/>
              <w:rPr>
                <w:rFonts w:ascii="Verdana" w:hAnsi="Verdana" w:cs="Arial"/>
                <w:lang w:val="en-US"/>
              </w:rPr>
            </w:pPr>
          </w:p>
          <w:p w14:paraId="18FE8E2D" w14:textId="30FF5FEE" w:rsidR="00ED7F82" w:rsidRPr="00ED7F82" w:rsidRDefault="00ED7F82" w:rsidP="006A49F4">
            <w:pPr>
              <w:pStyle w:val="Corpodetexto"/>
              <w:tabs>
                <w:tab w:val="left" w:pos="0"/>
                <w:tab w:val="left" w:pos="817"/>
              </w:tabs>
              <w:spacing w:line="320" w:lineRule="exact"/>
              <w:jc w:val="both"/>
              <w:rPr>
                <w:rFonts w:ascii="Verdana" w:hAnsi="Verdana" w:cs="Arial"/>
                <w:lang w:val="en-US"/>
              </w:rPr>
            </w:pPr>
            <w:r w:rsidRPr="00ED7F82">
              <w:rPr>
                <w:rFonts w:ascii="Verdana" w:hAnsi="Verdana" w:cs="Arial"/>
                <w:b/>
                <w:bCs/>
                <w:lang w:val="en-US"/>
              </w:rPr>
              <w:t>On January 22, 2026, the Company's management called an Extraordinary General Meeting of shareholders, to be held on February 12, 2026, which will resolve, among other matters, on the reverse split of all common shares issued by the Company, in the ratio of 75 shares to 1 share (reverse split factor), without modification of the value of the Company's capital stock ("</w:t>
            </w:r>
            <w:r>
              <w:rPr>
                <w:rFonts w:ascii="Verdana" w:hAnsi="Verdana" w:cs="Arial"/>
                <w:b/>
                <w:bCs/>
                <w:lang w:val="en-US"/>
              </w:rPr>
              <w:t>R</w:t>
            </w:r>
            <w:r w:rsidRPr="00ED7F82">
              <w:rPr>
                <w:rFonts w:ascii="Verdana" w:hAnsi="Verdana" w:cs="Arial"/>
                <w:b/>
                <w:bCs/>
                <w:lang w:val="en-US"/>
              </w:rPr>
              <w:t xml:space="preserve">everse </w:t>
            </w:r>
            <w:r>
              <w:rPr>
                <w:rFonts w:ascii="Verdana" w:hAnsi="Verdana" w:cs="Arial"/>
                <w:b/>
                <w:bCs/>
                <w:lang w:val="en-US"/>
              </w:rPr>
              <w:t>S</w:t>
            </w:r>
            <w:r w:rsidRPr="00ED7F82">
              <w:rPr>
                <w:rFonts w:ascii="Verdana" w:hAnsi="Verdana" w:cs="Arial"/>
                <w:b/>
                <w:bCs/>
                <w:lang w:val="en-US"/>
              </w:rPr>
              <w:t xml:space="preserve">plit"). If approved, the </w:t>
            </w:r>
            <w:r w:rsidRPr="00ED7F82">
              <w:rPr>
                <w:rFonts w:ascii="Verdana" w:hAnsi="Verdana" w:cs="Arial"/>
                <w:b/>
                <w:bCs/>
                <w:lang w:val="en-US"/>
              </w:rPr>
              <w:lastRenderedPageBreak/>
              <w:t>Reverse Split will be completed before the Settlement Date (as defined below) and, as such, the Stock Baskets and the Share Lots will be delivered to the Shareholders and Professional Investors, respectively, considering the Reverse Split in the aforementioned factor. In this sense, shareholders who subscribe to Baskets of Shares under the Priority Offer will receive, after the Reverse Split, 1,727,900 shares per Basket of Shares.</w:t>
            </w:r>
          </w:p>
        </w:tc>
      </w:tr>
      <w:tr w:rsidR="00591CF4" w:rsidRPr="00016DC5" w14:paraId="2B9209FD" w14:textId="77777777" w:rsidTr="00BE12AD">
        <w:trPr>
          <w:trHeight w:val="20"/>
          <w:jc w:val="center"/>
        </w:trPr>
        <w:tc>
          <w:tcPr>
            <w:tcW w:w="5382" w:type="dxa"/>
          </w:tcPr>
          <w:p w14:paraId="26755EEF" w14:textId="77777777" w:rsidR="00591CF4" w:rsidRPr="00FA3016" w:rsidRDefault="00591CF4" w:rsidP="006A49F4">
            <w:pPr>
              <w:pStyle w:val="Corpodetexto"/>
              <w:tabs>
                <w:tab w:val="left" w:pos="0"/>
                <w:tab w:val="left" w:pos="817"/>
              </w:tabs>
              <w:spacing w:line="320" w:lineRule="exact"/>
              <w:jc w:val="both"/>
              <w:rPr>
                <w:rFonts w:ascii="Verdana" w:hAnsi="Verdana" w:cs="Arial"/>
                <w:bCs/>
                <w:lang w:val="en-US"/>
              </w:rPr>
            </w:pPr>
          </w:p>
        </w:tc>
        <w:tc>
          <w:tcPr>
            <w:tcW w:w="5168" w:type="dxa"/>
          </w:tcPr>
          <w:p w14:paraId="7FC7B5AF" w14:textId="77777777" w:rsidR="00591CF4" w:rsidRPr="00295D4D" w:rsidRDefault="00591CF4" w:rsidP="006A49F4">
            <w:pPr>
              <w:pStyle w:val="Corpodetexto"/>
              <w:tabs>
                <w:tab w:val="left" w:pos="0"/>
                <w:tab w:val="left" w:pos="817"/>
              </w:tabs>
              <w:spacing w:line="320" w:lineRule="exact"/>
              <w:jc w:val="both"/>
              <w:rPr>
                <w:rFonts w:ascii="Verdana" w:hAnsi="Verdana" w:cs="Arial"/>
                <w:lang w:val="en-US"/>
              </w:rPr>
            </w:pPr>
          </w:p>
        </w:tc>
      </w:tr>
      <w:tr w:rsidR="003A0374" w:rsidRPr="00016DC5" w14:paraId="78C34022" w14:textId="77777777" w:rsidTr="00BE12AD">
        <w:trPr>
          <w:trHeight w:val="20"/>
          <w:jc w:val="center"/>
        </w:trPr>
        <w:tc>
          <w:tcPr>
            <w:tcW w:w="5382" w:type="dxa"/>
          </w:tcPr>
          <w:p w14:paraId="40A949B2" w14:textId="04911DA9" w:rsidR="003A0374" w:rsidRPr="00295D4D" w:rsidRDefault="003A0374" w:rsidP="006A49F4">
            <w:pPr>
              <w:pStyle w:val="Corpodetexto"/>
              <w:tabs>
                <w:tab w:val="left" w:pos="0"/>
                <w:tab w:val="left" w:pos="817"/>
              </w:tabs>
              <w:spacing w:line="320" w:lineRule="exact"/>
              <w:jc w:val="both"/>
              <w:rPr>
                <w:rFonts w:ascii="Verdana" w:hAnsi="Verdana" w:cs="Arial"/>
                <w:bCs/>
              </w:rPr>
            </w:pPr>
            <w:r w:rsidRPr="00295D4D">
              <w:rPr>
                <w:rFonts w:ascii="Verdana" w:hAnsi="Verdana" w:cs="Arial"/>
                <w:bCs/>
              </w:rPr>
              <w:t xml:space="preserve">Portanto, tomar-se-á como base a participação acionária dos </w:t>
            </w:r>
            <w:r w:rsidR="001A4F9E" w:rsidRPr="00295D4D">
              <w:rPr>
                <w:rFonts w:ascii="Verdana" w:hAnsi="Verdana" w:cs="Arial"/>
                <w:bCs/>
              </w:rPr>
              <w:t xml:space="preserve">acionistas </w:t>
            </w:r>
            <w:r w:rsidR="0055012B" w:rsidRPr="00295D4D">
              <w:rPr>
                <w:rFonts w:ascii="Verdana" w:hAnsi="Verdana" w:cs="Arial"/>
                <w:bCs/>
              </w:rPr>
              <w:t xml:space="preserve">titulares </w:t>
            </w:r>
            <w:r w:rsidR="00213874" w:rsidRPr="00295D4D">
              <w:rPr>
                <w:rFonts w:ascii="Verdana" w:hAnsi="Verdana" w:cs="Arial"/>
                <w:bCs/>
              </w:rPr>
              <w:t xml:space="preserve">de </w:t>
            </w:r>
            <w:r w:rsidR="00CA78E5" w:rsidRPr="00295D4D">
              <w:rPr>
                <w:rFonts w:ascii="Verdana" w:hAnsi="Verdana" w:cs="Arial"/>
                <w:bCs/>
              </w:rPr>
              <w:t xml:space="preserve">ações ordinárias </w:t>
            </w:r>
            <w:r w:rsidR="0055012B" w:rsidRPr="00295D4D">
              <w:rPr>
                <w:rFonts w:ascii="Verdana" w:hAnsi="Verdana" w:cs="Arial"/>
                <w:bCs/>
              </w:rPr>
              <w:t>de emissão da Companhia</w:t>
            </w:r>
            <w:r w:rsidR="00213874" w:rsidRPr="00295D4D">
              <w:rPr>
                <w:rFonts w:ascii="Verdana" w:hAnsi="Verdana" w:cs="Arial"/>
                <w:bCs/>
              </w:rPr>
              <w:t xml:space="preserve">, </w:t>
            </w:r>
            <w:r w:rsidRPr="00295D4D">
              <w:rPr>
                <w:rFonts w:ascii="Verdana" w:hAnsi="Verdana" w:cs="Arial"/>
                <w:bCs/>
              </w:rPr>
              <w:t>verificada nas posições em custódia</w:t>
            </w:r>
            <w:r w:rsidR="00CE6F47" w:rsidRPr="00295D4D">
              <w:rPr>
                <w:rFonts w:ascii="Verdana" w:hAnsi="Verdana" w:cs="Arial"/>
                <w:bCs/>
              </w:rPr>
              <w:t xml:space="preserve">, sem considerar ações ou certificados de depósito de ações (incluindo sob a forma de </w:t>
            </w:r>
            <w:r w:rsidR="00854D96" w:rsidRPr="008C75BA">
              <w:rPr>
                <w:rFonts w:ascii="Verdana" w:hAnsi="Verdana" w:cs="Arial"/>
                <w:bCs/>
              </w:rPr>
              <w:t>ADRs</w:t>
            </w:r>
            <w:r w:rsidR="00CE6F47" w:rsidRPr="00295D4D">
              <w:rPr>
                <w:rFonts w:ascii="Verdana" w:hAnsi="Verdana" w:cs="Arial"/>
                <w:bCs/>
              </w:rPr>
              <w:t xml:space="preserve">) da Companhia </w:t>
            </w:r>
            <w:r w:rsidR="00071969" w:rsidRPr="00295D4D">
              <w:rPr>
                <w:rFonts w:ascii="Verdana" w:hAnsi="Verdana" w:cs="Arial"/>
                <w:bCs/>
              </w:rPr>
              <w:t xml:space="preserve">listadas </w:t>
            </w:r>
            <w:r w:rsidRPr="00295D4D">
              <w:rPr>
                <w:rFonts w:ascii="Verdana" w:hAnsi="Verdana" w:cs="Arial"/>
                <w:bCs/>
              </w:rPr>
              <w:t>(i) na Central Depositária de Ativos da B3 (</w:t>
            </w:r>
            <w:r w:rsidR="00750320" w:rsidRPr="00295D4D">
              <w:rPr>
                <w:rFonts w:ascii="Verdana" w:hAnsi="Verdana" w:cs="Arial"/>
                <w:bCs/>
              </w:rPr>
              <w:t>“</w:t>
            </w:r>
            <w:r w:rsidRPr="00295D4D">
              <w:rPr>
                <w:rFonts w:ascii="Verdana" w:hAnsi="Verdana" w:cs="Arial"/>
                <w:b/>
              </w:rPr>
              <w:t>Central Depositária</w:t>
            </w:r>
            <w:r w:rsidR="00750320" w:rsidRPr="00295D4D">
              <w:rPr>
                <w:rFonts w:ascii="Verdana" w:hAnsi="Verdana" w:cs="Arial"/>
                <w:bCs/>
              </w:rPr>
              <w:t>”</w:t>
            </w:r>
            <w:r w:rsidRPr="00295D4D">
              <w:rPr>
                <w:rFonts w:ascii="Verdana" w:hAnsi="Verdana" w:cs="Arial"/>
                <w:bCs/>
              </w:rPr>
              <w:t xml:space="preserve">); e (ii) na </w:t>
            </w:r>
            <w:r w:rsidRPr="00295D4D">
              <w:rPr>
                <w:rFonts w:ascii="Verdana" w:hAnsi="Verdana" w:cs="Arial"/>
                <w:color w:val="000000"/>
              </w:rPr>
              <w:t>Itaú Corretora de Valores S.A.</w:t>
            </w:r>
            <w:r w:rsidR="008A1AF9">
              <w:rPr>
                <w:rFonts w:ascii="Verdana" w:hAnsi="Verdana" w:cs="Arial"/>
                <w:color w:val="000000"/>
              </w:rPr>
              <w:t xml:space="preserve"> (“</w:t>
            </w:r>
            <w:r w:rsidR="008A1AF9" w:rsidRPr="00BE12AD">
              <w:rPr>
                <w:rFonts w:ascii="Verdana" w:hAnsi="Verdana" w:cs="Arial"/>
                <w:b/>
                <w:bCs/>
                <w:color w:val="000000"/>
              </w:rPr>
              <w:t>Instituição Escrituradora</w:t>
            </w:r>
            <w:r w:rsidR="008A1AF9">
              <w:rPr>
                <w:rFonts w:ascii="Verdana" w:hAnsi="Verdana" w:cs="Arial"/>
                <w:color w:val="000000"/>
              </w:rPr>
              <w:t>”)</w:t>
            </w:r>
            <w:r w:rsidRPr="00295D4D">
              <w:rPr>
                <w:rFonts w:ascii="Verdana" w:hAnsi="Verdana" w:cs="Arial"/>
                <w:bCs/>
              </w:rPr>
              <w:t>, instituição responsável pela escrituração e custódia das ações de emissão da Companhia (</w:t>
            </w:r>
            <w:r w:rsidR="00750320" w:rsidRPr="00295D4D">
              <w:rPr>
                <w:rFonts w:ascii="Verdana" w:hAnsi="Verdana" w:cs="Arial"/>
                <w:bCs/>
              </w:rPr>
              <w:t>“</w:t>
            </w:r>
            <w:r w:rsidRPr="00295D4D">
              <w:rPr>
                <w:rFonts w:ascii="Verdana" w:hAnsi="Verdana" w:cs="Arial"/>
                <w:b/>
              </w:rPr>
              <w:t>Acionista</w:t>
            </w:r>
            <w:r w:rsidR="00750320" w:rsidRPr="00295D4D">
              <w:rPr>
                <w:rFonts w:ascii="Verdana" w:hAnsi="Verdana" w:cs="Arial"/>
                <w:bCs/>
              </w:rPr>
              <w:t>”</w:t>
            </w:r>
            <w:r w:rsidRPr="00295D4D">
              <w:rPr>
                <w:rFonts w:ascii="Verdana" w:hAnsi="Verdana" w:cs="Arial"/>
                <w:bCs/>
              </w:rPr>
              <w:t xml:space="preserve"> ou </w:t>
            </w:r>
            <w:r w:rsidR="00750320" w:rsidRPr="00295D4D">
              <w:rPr>
                <w:rFonts w:ascii="Verdana" w:hAnsi="Verdana" w:cs="Arial"/>
                <w:bCs/>
              </w:rPr>
              <w:t>“</w:t>
            </w:r>
            <w:r w:rsidRPr="00295D4D">
              <w:rPr>
                <w:rFonts w:ascii="Verdana" w:hAnsi="Verdana" w:cs="Arial"/>
                <w:b/>
              </w:rPr>
              <w:t>SUBSCRITOR</w:t>
            </w:r>
            <w:r w:rsidR="00750320" w:rsidRPr="00295D4D">
              <w:rPr>
                <w:rFonts w:ascii="Verdana" w:hAnsi="Verdana" w:cs="Arial"/>
                <w:bCs/>
              </w:rPr>
              <w:t>”</w:t>
            </w:r>
            <w:r w:rsidRPr="00295D4D">
              <w:rPr>
                <w:rFonts w:ascii="Verdana" w:hAnsi="Verdana" w:cs="Arial"/>
                <w:bCs/>
              </w:rPr>
              <w:t xml:space="preserve">), (a) ao final do dia </w:t>
            </w:r>
            <w:r w:rsidR="00CB0C2E">
              <w:rPr>
                <w:rFonts w:ascii="Verdana" w:hAnsi="Verdana" w:cs="Arial"/>
              </w:rPr>
              <w:t>30</w:t>
            </w:r>
            <w:r w:rsidR="00CB0C2E" w:rsidRPr="00295D4D">
              <w:rPr>
                <w:rFonts w:ascii="Verdana" w:hAnsi="Verdana" w:cs="Arial"/>
                <w:bCs/>
              </w:rPr>
              <w:t xml:space="preserve"> </w:t>
            </w:r>
            <w:r w:rsidRPr="00295D4D">
              <w:rPr>
                <w:rFonts w:ascii="Verdana" w:hAnsi="Verdana" w:cs="Arial"/>
                <w:bCs/>
              </w:rPr>
              <w:t xml:space="preserve">de </w:t>
            </w:r>
            <w:r w:rsidR="00CB0C2E">
              <w:rPr>
                <w:rFonts w:ascii="Verdana" w:hAnsi="Verdana" w:cs="Arial"/>
              </w:rPr>
              <w:t>janeiro</w:t>
            </w:r>
            <w:r w:rsidR="00CB0C2E" w:rsidRPr="00295D4D">
              <w:rPr>
                <w:rFonts w:ascii="Verdana" w:hAnsi="Verdana" w:cs="Arial"/>
                <w:bCs/>
              </w:rPr>
              <w:t xml:space="preserve"> </w:t>
            </w:r>
            <w:r w:rsidRPr="00295D4D">
              <w:rPr>
                <w:rFonts w:ascii="Verdana" w:hAnsi="Verdana" w:cs="Arial"/>
                <w:bCs/>
              </w:rPr>
              <w:t xml:space="preserve">de </w:t>
            </w:r>
            <w:r w:rsidR="00ED0A20">
              <w:rPr>
                <w:rFonts w:ascii="Verdana" w:hAnsi="Verdana" w:cs="Arial"/>
                <w:bCs/>
              </w:rPr>
              <w:t>2026</w:t>
            </w:r>
            <w:r w:rsidR="007E5995" w:rsidRPr="00295D4D">
              <w:rPr>
                <w:rFonts w:ascii="Verdana" w:hAnsi="Verdana" w:cs="Arial"/>
                <w:bCs/>
              </w:rPr>
              <w:t>, após o fechamento do mercado</w:t>
            </w:r>
            <w:r w:rsidRPr="00295D4D">
              <w:rPr>
                <w:rFonts w:ascii="Verdana" w:hAnsi="Verdana" w:cs="Arial"/>
                <w:bCs/>
              </w:rPr>
              <w:t xml:space="preserve"> (</w:t>
            </w:r>
            <w:r w:rsidR="00750320" w:rsidRPr="00295D4D">
              <w:rPr>
                <w:rFonts w:ascii="Verdana" w:hAnsi="Verdana" w:cs="Arial"/>
                <w:bCs/>
              </w:rPr>
              <w:t>“</w:t>
            </w:r>
            <w:r w:rsidRPr="00295D4D">
              <w:rPr>
                <w:rFonts w:ascii="Verdana" w:hAnsi="Verdana" w:cs="Arial"/>
                <w:b/>
              </w:rPr>
              <w:t>Primeira Data de Corte</w:t>
            </w:r>
            <w:r w:rsidR="00750320" w:rsidRPr="00295D4D">
              <w:rPr>
                <w:rFonts w:ascii="Verdana" w:hAnsi="Verdana" w:cs="Arial"/>
                <w:bCs/>
              </w:rPr>
              <w:t>”</w:t>
            </w:r>
            <w:r w:rsidRPr="00295D4D">
              <w:rPr>
                <w:rFonts w:ascii="Verdana" w:hAnsi="Verdana" w:cs="Arial"/>
                <w:bCs/>
              </w:rPr>
              <w:t xml:space="preserve">), e (b) ao final do dia </w:t>
            </w:r>
            <w:r w:rsidR="00CB0C2E">
              <w:rPr>
                <w:rFonts w:ascii="Verdana" w:hAnsi="Verdana" w:cs="Arial"/>
              </w:rPr>
              <w:t>9</w:t>
            </w:r>
            <w:r w:rsidR="00CB0C2E" w:rsidRPr="00295D4D">
              <w:rPr>
                <w:rFonts w:ascii="Verdana" w:hAnsi="Verdana" w:cs="Arial"/>
                <w:bCs/>
              </w:rPr>
              <w:t xml:space="preserve"> </w:t>
            </w:r>
            <w:r w:rsidR="00ED0A20" w:rsidRPr="00295D4D">
              <w:rPr>
                <w:rFonts w:ascii="Verdana" w:hAnsi="Verdana" w:cs="Arial"/>
                <w:bCs/>
              </w:rPr>
              <w:t xml:space="preserve">de </w:t>
            </w:r>
            <w:r w:rsidR="00CB0C2E">
              <w:rPr>
                <w:rFonts w:ascii="Verdana" w:hAnsi="Verdana" w:cs="Arial"/>
              </w:rPr>
              <w:t>fevereiro</w:t>
            </w:r>
            <w:r w:rsidR="00CB0C2E" w:rsidRPr="00295D4D">
              <w:rPr>
                <w:rFonts w:ascii="Verdana" w:hAnsi="Verdana" w:cs="Arial"/>
                <w:bCs/>
              </w:rPr>
              <w:t xml:space="preserve"> </w:t>
            </w:r>
            <w:r w:rsidR="00ED0A20" w:rsidRPr="00295D4D">
              <w:rPr>
                <w:rFonts w:ascii="Verdana" w:hAnsi="Verdana" w:cs="Arial"/>
                <w:bCs/>
              </w:rPr>
              <w:t xml:space="preserve">de </w:t>
            </w:r>
            <w:r w:rsidR="00ED0A20">
              <w:rPr>
                <w:rFonts w:ascii="Verdana" w:hAnsi="Verdana" w:cs="Arial"/>
                <w:bCs/>
              </w:rPr>
              <w:t>2026</w:t>
            </w:r>
            <w:r w:rsidR="007E5995" w:rsidRPr="00295D4D">
              <w:rPr>
                <w:rFonts w:ascii="Verdana" w:hAnsi="Verdana" w:cs="Arial"/>
                <w:bCs/>
              </w:rPr>
              <w:t>, após o fechamento do mercado</w:t>
            </w:r>
            <w:r w:rsidRPr="00295D4D">
              <w:rPr>
                <w:rFonts w:ascii="Verdana" w:hAnsi="Verdana" w:cs="Arial"/>
                <w:bCs/>
              </w:rPr>
              <w:t xml:space="preserve"> (</w:t>
            </w:r>
            <w:r w:rsidR="00750320" w:rsidRPr="00295D4D">
              <w:rPr>
                <w:rFonts w:ascii="Verdana" w:hAnsi="Verdana" w:cs="Arial"/>
                <w:bCs/>
              </w:rPr>
              <w:t>“</w:t>
            </w:r>
            <w:r w:rsidRPr="00295D4D">
              <w:rPr>
                <w:rFonts w:ascii="Verdana" w:hAnsi="Verdana" w:cs="Arial"/>
                <w:b/>
              </w:rPr>
              <w:t>Segunda Data de Corte</w:t>
            </w:r>
            <w:r w:rsidR="00750320" w:rsidRPr="00295D4D">
              <w:rPr>
                <w:rFonts w:ascii="Verdana" w:hAnsi="Verdana" w:cs="Arial"/>
                <w:bCs/>
              </w:rPr>
              <w:t>”</w:t>
            </w:r>
            <w:r w:rsidRPr="00295D4D">
              <w:rPr>
                <w:rFonts w:ascii="Verdana" w:hAnsi="Verdana" w:cs="Arial"/>
                <w:bCs/>
              </w:rPr>
              <w:t xml:space="preserve">). </w:t>
            </w:r>
          </w:p>
          <w:p w14:paraId="39F14439" w14:textId="77777777" w:rsidR="003A0374" w:rsidRPr="00295D4D" w:rsidRDefault="003A0374" w:rsidP="006A49F4">
            <w:pPr>
              <w:pStyle w:val="Corpodetexto"/>
              <w:spacing w:line="320" w:lineRule="exact"/>
              <w:jc w:val="both"/>
              <w:rPr>
                <w:rFonts w:ascii="Verdana" w:hAnsi="Verdana" w:cs="Arial"/>
                <w:bCs/>
              </w:rPr>
            </w:pPr>
          </w:p>
        </w:tc>
        <w:tc>
          <w:tcPr>
            <w:tcW w:w="5168" w:type="dxa"/>
          </w:tcPr>
          <w:p w14:paraId="492D4BFE" w14:textId="26E72B33" w:rsidR="003A0374" w:rsidRPr="00295D4D" w:rsidRDefault="003A0374" w:rsidP="006A49F4">
            <w:pPr>
              <w:pStyle w:val="Corpodetexto"/>
              <w:tabs>
                <w:tab w:val="left" w:pos="0"/>
                <w:tab w:val="left" w:pos="817"/>
              </w:tabs>
              <w:spacing w:line="320" w:lineRule="exact"/>
              <w:jc w:val="both"/>
              <w:rPr>
                <w:rFonts w:ascii="Verdana" w:hAnsi="Verdana" w:cs="Arial"/>
                <w:lang w:val="en-US"/>
              </w:rPr>
            </w:pPr>
            <w:r w:rsidRPr="00295D4D">
              <w:rPr>
                <w:rFonts w:ascii="Verdana" w:hAnsi="Verdana" w:cs="Arial"/>
                <w:lang w:val="en-US"/>
              </w:rPr>
              <w:t xml:space="preserve">The </w:t>
            </w:r>
            <w:r w:rsidR="004F5D32" w:rsidRPr="00295D4D">
              <w:rPr>
                <w:rFonts w:ascii="Verdana" w:hAnsi="Verdana" w:cs="Arial"/>
                <w:lang w:val="en-US"/>
              </w:rPr>
              <w:t>Priority Subscription Right</w:t>
            </w:r>
            <w:r w:rsidRPr="00295D4D">
              <w:rPr>
                <w:rFonts w:ascii="Verdana" w:hAnsi="Verdana" w:cs="Arial"/>
                <w:lang w:val="en-US"/>
              </w:rPr>
              <w:t xml:space="preserve"> will take into consideration the </w:t>
            </w:r>
            <w:r w:rsidRPr="00295D4D">
              <w:rPr>
                <w:rFonts w:ascii="Verdana" w:eastAsiaTheme="minorHAnsi" w:hAnsi="Verdana" w:cs="Arial"/>
                <w:lang w:val="en-US"/>
              </w:rPr>
              <w:t>shareholders</w:t>
            </w:r>
            <w:r w:rsidRPr="00295D4D">
              <w:rPr>
                <w:rFonts w:ascii="Verdana" w:hAnsi="Verdana" w:cs="Arial"/>
                <w:lang w:val="en-US"/>
              </w:rPr>
              <w:t xml:space="preserve"> that hold </w:t>
            </w:r>
            <w:r w:rsidR="00CA78E5" w:rsidRPr="00295D4D">
              <w:rPr>
                <w:rFonts w:ascii="Verdana" w:hAnsi="Verdana" w:cs="Arial"/>
                <w:lang w:val="en-US"/>
              </w:rPr>
              <w:t xml:space="preserve">common shares </w:t>
            </w:r>
            <w:r w:rsidRPr="00295D4D">
              <w:rPr>
                <w:rFonts w:ascii="Verdana" w:hAnsi="Verdana" w:cs="Arial"/>
                <w:lang w:val="en-US"/>
              </w:rPr>
              <w:t>issued by the Company</w:t>
            </w:r>
            <w:r w:rsidR="000555A2" w:rsidRPr="00295D4D">
              <w:rPr>
                <w:rFonts w:ascii="Verdana" w:hAnsi="Verdana" w:cs="Arial"/>
                <w:lang w:val="en-US"/>
              </w:rPr>
              <w:t xml:space="preserve">, without considering shares or shares depositary receipts (including American Depositary Receipts) of the Company </w:t>
            </w:r>
            <w:r w:rsidR="00071969" w:rsidRPr="00295D4D">
              <w:rPr>
                <w:rFonts w:ascii="Verdana" w:hAnsi="Verdana" w:cs="Arial"/>
                <w:lang w:val="en-US"/>
              </w:rPr>
              <w:t xml:space="preserve">listed on the </w:t>
            </w:r>
            <w:r w:rsidR="000555A2" w:rsidRPr="00295D4D">
              <w:rPr>
                <w:rFonts w:ascii="Verdana" w:hAnsi="Verdana" w:cs="Arial"/>
                <w:lang w:val="en-US"/>
              </w:rPr>
              <w:t>NYSE,</w:t>
            </w:r>
            <w:r w:rsidRPr="00295D4D">
              <w:rPr>
                <w:rFonts w:ascii="Verdana" w:hAnsi="Verdana" w:cs="Arial"/>
                <w:lang w:val="en-US"/>
              </w:rPr>
              <w:t xml:space="preserve"> at (i) B3 Asset Depositary Center (</w:t>
            </w:r>
            <w:r w:rsidR="00750320" w:rsidRPr="00295D4D">
              <w:rPr>
                <w:rFonts w:ascii="Verdana" w:hAnsi="Verdana" w:cs="Arial"/>
                <w:lang w:val="en-US"/>
              </w:rPr>
              <w:t>“</w:t>
            </w:r>
            <w:r w:rsidRPr="00295D4D">
              <w:rPr>
                <w:rFonts w:ascii="Verdana" w:hAnsi="Verdana" w:cs="Arial"/>
                <w:b/>
                <w:bCs/>
                <w:lang w:val="en-US"/>
              </w:rPr>
              <w:t>Depositary Center</w:t>
            </w:r>
            <w:r w:rsidR="00750320" w:rsidRPr="00295D4D">
              <w:rPr>
                <w:rFonts w:ascii="Verdana" w:hAnsi="Verdana" w:cs="Arial"/>
                <w:lang w:val="en-US"/>
              </w:rPr>
              <w:t>”</w:t>
            </w:r>
            <w:r w:rsidRPr="00295D4D">
              <w:rPr>
                <w:rFonts w:ascii="Verdana" w:hAnsi="Verdana" w:cs="Arial"/>
                <w:lang w:val="en-US"/>
              </w:rPr>
              <w:t xml:space="preserve">); and (ii) at </w:t>
            </w:r>
            <w:r w:rsidRPr="00295D4D">
              <w:rPr>
                <w:rFonts w:ascii="Verdana" w:hAnsi="Verdana" w:cs="Arial"/>
                <w:color w:val="000000"/>
                <w:lang w:val="en-US"/>
              </w:rPr>
              <w:t>Itaú Corretora de Valores S.A.</w:t>
            </w:r>
            <w:r w:rsidR="008A1AF9">
              <w:rPr>
                <w:rFonts w:ascii="Verdana" w:hAnsi="Verdana" w:cs="Arial"/>
                <w:color w:val="000000"/>
                <w:lang w:val="en-US"/>
              </w:rPr>
              <w:t xml:space="preserve"> (“</w:t>
            </w:r>
            <w:r w:rsidR="008A1AF9" w:rsidRPr="00BE12AD">
              <w:rPr>
                <w:rFonts w:ascii="Verdana" w:hAnsi="Verdana" w:cs="Arial"/>
                <w:b/>
                <w:bCs/>
                <w:color w:val="000000"/>
                <w:lang w:val="en-US"/>
              </w:rPr>
              <w:t>Bookkeeping Agent</w:t>
            </w:r>
            <w:r w:rsidR="008A1AF9">
              <w:rPr>
                <w:rFonts w:ascii="Verdana" w:hAnsi="Verdana" w:cs="Arial"/>
                <w:color w:val="000000"/>
                <w:lang w:val="en-US"/>
              </w:rPr>
              <w:t>”), the institution responsible for the book-entry registration and custody of the Company’s shares</w:t>
            </w:r>
            <w:r w:rsidRPr="00295D4D">
              <w:rPr>
                <w:rFonts w:ascii="Verdana" w:hAnsi="Verdana" w:cs="Arial"/>
                <w:lang w:val="en-US"/>
              </w:rPr>
              <w:t xml:space="preserve"> (</w:t>
            </w:r>
            <w:r w:rsidR="00750320" w:rsidRPr="00295D4D">
              <w:rPr>
                <w:rFonts w:ascii="Verdana" w:hAnsi="Verdana" w:cs="Arial"/>
                <w:lang w:val="en-US"/>
              </w:rPr>
              <w:t>“</w:t>
            </w:r>
            <w:r w:rsidRPr="00295D4D">
              <w:rPr>
                <w:rFonts w:ascii="Verdana" w:eastAsiaTheme="minorHAnsi" w:hAnsi="Verdana" w:cs="Arial"/>
                <w:b/>
                <w:lang w:val="en-US"/>
              </w:rPr>
              <w:t>Shareholder</w:t>
            </w:r>
            <w:r w:rsidR="00750320" w:rsidRPr="00295D4D">
              <w:rPr>
                <w:rFonts w:ascii="Verdana" w:hAnsi="Verdana" w:cs="Arial"/>
                <w:lang w:val="en-US"/>
              </w:rPr>
              <w:t>”</w:t>
            </w:r>
            <w:r w:rsidRPr="00295D4D">
              <w:rPr>
                <w:rFonts w:ascii="Verdana" w:hAnsi="Verdana" w:cs="Arial"/>
                <w:lang w:val="en-US"/>
              </w:rPr>
              <w:t xml:space="preserve"> or </w:t>
            </w:r>
            <w:r w:rsidR="00750320" w:rsidRPr="00295D4D">
              <w:rPr>
                <w:rFonts w:ascii="Verdana" w:hAnsi="Verdana" w:cs="Arial"/>
                <w:lang w:val="en-US"/>
              </w:rPr>
              <w:t>“</w:t>
            </w:r>
            <w:r w:rsidRPr="00295D4D">
              <w:rPr>
                <w:rFonts w:ascii="Verdana" w:hAnsi="Verdana" w:cs="Arial"/>
                <w:b/>
                <w:bCs/>
                <w:lang w:val="en-US"/>
              </w:rPr>
              <w:t>SUBSCRIBER</w:t>
            </w:r>
            <w:r w:rsidR="00750320" w:rsidRPr="00295D4D">
              <w:rPr>
                <w:rFonts w:ascii="Verdana" w:hAnsi="Verdana" w:cs="Arial"/>
                <w:lang w:val="en-US"/>
              </w:rPr>
              <w:t>”</w:t>
            </w:r>
            <w:r w:rsidRPr="00295D4D">
              <w:rPr>
                <w:rFonts w:ascii="Verdana" w:hAnsi="Verdana" w:cs="Arial"/>
                <w:lang w:val="en-US"/>
              </w:rPr>
              <w:t xml:space="preserve">), (a) on the end of </w:t>
            </w:r>
            <w:r w:rsidR="00CB0C2E">
              <w:rPr>
                <w:rFonts w:ascii="Verdana" w:hAnsi="Verdana" w:cs="Arial"/>
                <w:lang w:val="en-US"/>
              </w:rPr>
              <w:t>January, 30</w:t>
            </w:r>
            <w:r w:rsidR="00CB0C2E" w:rsidRPr="00295D4D">
              <w:rPr>
                <w:rFonts w:ascii="Verdana" w:hAnsi="Verdana" w:cs="Arial"/>
                <w:lang w:val="en-US"/>
              </w:rPr>
              <w:t xml:space="preserve">, </w:t>
            </w:r>
            <w:r w:rsidRPr="00295D4D">
              <w:rPr>
                <w:rFonts w:ascii="Verdana" w:hAnsi="Verdana" w:cs="Arial"/>
                <w:lang w:val="en-US"/>
              </w:rPr>
              <w:t>202</w:t>
            </w:r>
            <w:r w:rsidR="00ED0A20">
              <w:rPr>
                <w:rFonts w:ascii="Verdana" w:hAnsi="Verdana" w:cs="Arial"/>
                <w:lang w:val="en-US"/>
              </w:rPr>
              <w:t>6</w:t>
            </w:r>
            <w:r w:rsidR="007E5995" w:rsidRPr="00295D4D">
              <w:rPr>
                <w:rFonts w:ascii="Verdana" w:hAnsi="Verdana" w:cs="Arial"/>
                <w:lang w:val="en-US"/>
              </w:rPr>
              <w:t>, after the stock market’s closing</w:t>
            </w:r>
            <w:r w:rsidRPr="00295D4D">
              <w:rPr>
                <w:rFonts w:ascii="Verdana" w:hAnsi="Verdana" w:cs="Arial"/>
                <w:lang w:val="en-US"/>
              </w:rPr>
              <w:t xml:space="preserve"> (</w:t>
            </w:r>
            <w:r w:rsidR="00750320" w:rsidRPr="00295D4D">
              <w:rPr>
                <w:rFonts w:ascii="Verdana" w:hAnsi="Verdana" w:cs="Arial"/>
                <w:lang w:val="en-US"/>
              </w:rPr>
              <w:t>“</w:t>
            </w:r>
            <w:r w:rsidRPr="00295D4D">
              <w:rPr>
                <w:rFonts w:ascii="Verdana" w:hAnsi="Verdana" w:cs="Arial"/>
                <w:b/>
                <w:bCs/>
                <w:lang w:val="en-US"/>
              </w:rPr>
              <w:t xml:space="preserve">First </w:t>
            </w:r>
            <w:r w:rsidR="00442D75">
              <w:rPr>
                <w:rFonts w:ascii="Verdana" w:hAnsi="Verdana" w:cs="Arial"/>
                <w:b/>
                <w:bCs/>
                <w:lang w:val="en-US"/>
              </w:rPr>
              <w:t xml:space="preserve">Cut-off </w:t>
            </w:r>
            <w:r w:rsidRPr="00295D4D">
              <w:rPr>
                <w:rFonts w:ascii="Verdana" w:hAnsi="Verdana" w:cs="Arial"/>
                <w:b/>
                <w:bCs/>
                <w:lang w:val="en-US"/>
              </w:rPr>
              <w:t>Date</w:t>
            </w:r>
            <w:r w:rsidR="00750320" w:rsidRPr="00295D4D">
              <w:rPr>
                <w:rFonts w:ascii="Verdana" w:hAnsi="Verdana" w:cs="Arial"/>
                <w:lang w:val="en-US"/>
              </w:rPr>
              <w:t>”</w:t>
            </w:r>
            <w:r w:rsidRPr="00295D4D">
              <w:rPr>
                <w:rFonts w:ascii="Verdana" w:hAnsi="Verdana" w:cs="Arial"/>
                <w:lang w:val="en-US"/>
              </w:rPr>
              <w:t xml:space="preserve">), and (b) on the end of </w:t>
            </w:r>
            <w:r w:rsidR="00CB0C2E">
              <w:rPr>
                <w:rFonts w:ascii="Verdana" w:hAnsi="Verdana" w:cs="Arial"/>
                <w:lang w:val="en-US"/>
              </w:rPr>
              <w:t>February 9</w:t>
            </w:r>
            <w:r w:rsidR="00CB0C2E" w:rsidRPr="00295D4D">
              <w:rPr>
                <w:rFonts w:ascii="Verdana" w:hAnsi="Verdana" w:cs="Arial"/>
                <w:lang w:val="en-US"/>
              </w:rPr>
              <w:t xml:space="preserve">, </w:t>
            </w:r>
            <w:r w:rsidRPr="00295D4D">
              <w:rPr>
                <w:rFonts w:ascii="Verdana" w:hAnsi="Verdana" w:cs="Arial"/>
                <w:lang w:val="en-US"/>
              </w:rPr>
              <w:t>202</w:t>
            </w:r>
            <w:r w:rsidR="00ED0A20">
              <w:rPr>
                <w:rFonts w:ascii="Verdana" w:hAnsi="Verdana" w:cs="Arial"/>
                <w:lang w:val="en-US"/>
              </w:rPr>
              <w:t>6</w:t>
            </w:r>
            <w:r w:rsidR="007E5995" w:rsidRPr="00295D4D">
              <w:rPr>
                <w:rFonts w:ascii="Verdana" w:hAnsi="Verdana" w:cs="Arial"/>
                <w:lang w:val="en-US"/>
              </w:rPr>
              <w:t>, after the stock market’s closing</w:t>
            </w:r>
            <w:r w:rsidRPr="00295D4D">
              <w:rPr>
                <w:rFonts w:ascii="Verdana" w:hAnsi="Verdana" w:cs="Arial"/>
                <w:lang w:val="en-US"/>
              </w:rPr>
              <w:t xml:space="preserve"> (</w:t>
            </w:r>
            <w:r w:rsidR="00750320" w:rsidRPr="00295D4D">
              <w:rPr>
                <w:rFonts w:ascii="Verdana" w:hAnsi="Verdana" w:cs="Arial"/>
                <w:lang w:val="en-US"/>
              </w:rPr>
              <w:t>“</w:t>
            </w:r>
            <w:r w:rsidRPr="00295D4D">
              <w:rPr>
                <w:rFonts w:ascii="Verdana" w:hAnsi="Verdana" w:cs="Arial"/>
                <w:b/>
                <w:bCs/>
                <w:lang w:val="en-US"/>
              </w:rPr>
              <w:t xml:space="preserve">Second </w:t>
            </w:r>
            <w:r w:rsidR="00442D75">
              <w:rPr>
                <w:rFonts w:ascii="Verdana" w:hAnsi="Verdana" w:cs="Arial"/>
                <w:b/>
                <w:bCs/>
                <w:lang w:val="en-US"/>
              </w:rPr>
              <w:t xml:space="preserve">Cut-off </w:t>
            </w:r>
            <w:r w:rsidRPr="00295D4D">
              <w:rPr>
                <w:rFonts w:ascii="Verdana" w:hAnsi="Verdana" w:cs="Arial"/>
                <w:b/>
                <w:bCs/>
                <w:lang w:val="en-US"/>
              </w:rPr>
              <w:t>Date</w:t>
            </w:r>
            <w:r w:rsidR="00750320" w:rsidRPr="00295D4D">
              <w:rPr>
                <w:rFonts w:ascii="Verdana" w:hAnsi="Verdana" w:cs="Arial"/>
                <w:lang w:val="en-US"/>
              </w:rPr>
              <w:t>”</w:t>
            </w:r>
            <w:r w:rsidRPr="00295D4D">
              <w:rPr>
                <w:rFonts w:ascii="Verdana" w:hAnsi="Verdana" w:cs="Arial"/>
                <w:lang w:val="en-US"/>
              </w:rPr>
              <w:t>).</w:t>
            </w:r>
          </w:p>
          <w:p w14:paraId="77D31B17" w14:textId="77777777" w:rsidR="003A0374" w:rsidRPr="00295D4D" w:rsidRDefault="003A0374" w:rsidP="006A49F4">
            <w:pPr>
              <w:pStyle w:val="Corpodetexto"/>
              <w:tabs>
                <w:tab w:val="left" w:pos="0"/>
                <w:tab w:val="left" w:pos="817"/>
              </w:tabs>
              <w:spacing w:line="320" w:lineRule="exact"/>
              <w:jc w:val="both"/>
              <w:rPr>
                <w:rFonts w:ascii="Verdana" w:hAnsi="Verdana" w:cs="Arial"/>
                <w:lang w:val="en-US"/>
              </w:rPr>
            </w:pPr>
          </w:p>
        </w:tc>
      </w:tr>
      <w:tr w:rsidR="003A0374" w:rsidRPr="00016DC5" w14:paraId="13F9F3D4" w14:textId="77777777" w:rsidTr="00BE12AD">
        <w:trPr>
          <w:trHeight w:val="20"/>
          <w:jc w:val="center"/>
        </w:trPr>
        <w:tc>
          <w:tcPr>
            <w:tcW w:w="5382" w:type="dxa"/>
          </w:tcPr>
          <w:p w14:paraId="077B12B6" w14:textId="06A6792F" w:rsidR="00FC01B3" w:rsidRPr="00F0577F" w:rsidRDefault="00295D4D" w:rsidP="006A49F4">
            <w:pPr>
              <w:pStyle w:val="HOMEBRBodyText"/>
              <w:keepLines w:val="0"/>
              <w:spacing w:after="0" w:line="320" w:lineRule="exact"/>
              <w:jc w:val="both"/>
              <w:rPr>
                <w:rFonts w:ascii="Verdana" w:hAnsi="Verdana" w:cs="Arial"/>
                <w:bCs/>
                <w:sz w:val="18"/>
                <w:szCs w:val="18"/>
              </w:rPr>
            </w:pPr>
            <w:r w:rsidRPr="006A49F4">
              <w:rPr>
                <w:rFonts w:ascii="Verdana" w:hAnsi="Verdana"/>
                <w:sz w:val="18"/>
                <w:szCs w:val="18"/>
              </w:rPr>
              <w:t>Serão considerados acionistas, para fins de participação na Oferta Prioritária e, portanto, terão direito de participar da Oferta Prioritária, os acionistas que forem titulares de ações de emissão da Companhia: (a) ao final do dia da Primeira Data de Corte, conforme posição de custódia, sem considerar ações ou certificados de depósito de ações (incluindo sob a forma de ADRs) da Companhia: (1) na Central Depositária;</w:t>
            </w:r>
            <w:r w:rsidRPr="006A49F4">
              <w:rPr>
                <w:rFonts w:ascii="Verdana" w:hAnsi="Verdana"/>
                <w:spacing w:val="-9"/>
                <w:sz w:val="18"/>
                <w:szCs w:val="18"/>
              </w:rPr>
              <w:t xml:space="preserve"> </w:t>
            </w:r>
            <w:r w:rsidRPr="006A49F4">
              <w:rPr>
                <w:rFonts w:ascii="Verdana" w:hAnsi="Verdana"/>
                <w:sz w:val="18"/>
                <w:szCs w:val="18"/>
              </w:rPr>
              <w:t>e</w:t>
            </w:r>
            <w:r w:rsidRPr="006A49F4">
              <w:rPr>
                <w:rFonts w:ascii="Verdana" w:hAnsi="Verdana"/>
                <w:spacing w:val="-11"/>
                <w:sz w:val="18"/>
                <w:szCs w:val="18"/>
              </w:rPr>
              <w:t xml:space="preserve"> </w:t>
            </w:r>
            <w:r w:rsidRPr="006A49F4">
              <w:rPr>
                <w:rFonts w:ascii="Verdana" w:hAnsi="Verdana"/>
                <w:sz w:val="18"/>
                <w:szCs w:val="18"/>
              </w:rPr>
              <w:t>(2)</w:t>
            </w:r>
            <w:r w:rsidRPr="006A49F4">
              <w:rPr>
                <w:rFonts w:ascii="Verdana" w:hAnsi="Verdana"/>
                <w:spacing w:val="-10"/>
                <w:sz w:val="18"/>
                <w:szCs w:val="18"/>
              </w:rPr>
              <w:t xml:space="preserve"> </w:t>
            </w:r>
            <w:r w:rsidRPr="006A49F4">
              <w:rPr>
                <w:rFonts w:ascii="Verdana" w:hAnsi="Verdana"/>
                <w:sz w:val="18"/>
                <w:szCs w:val="18"/>
              </w:rPr>
              <w:t>na</w:t>
            </w:r>
            <w:r w:rsidRPr="006A49F4">
              <w:rPr>
                <w:rFonts w:ascii="Verdana" w:hAnsi="Verdana"/>
                <w:spacing w:val="-11"/>
                <w:sz w:val="18"/>
                <w:szCs w:val="18"/>
              </w:rPr>
              <w:t xml:space="preserve"> </w:t>
            </w:r>
            <w:r w:rsidRPr="00BE12AD">
              <w:rPr>
                <w:rFonts w:ascii="Verdana" w:hAnsi="Verdana"/>
                <w:bCs/>
                <w:sz w:val="18"/>
                <w:szCs w:val="18"/>
              </w:rPr>
              <w:t>Instituição Escrituradora</w:t>
            </w:r>
            <w:r w:rsidRPr="006A49F4">
              <w:rPr>
                <w:rFonts w:ascii="Verdana" w:hAnsi="Verdana"/>
                <w:sz w:val="18"/>
                <w:szCs w:val="18"/>
              </w:rPr>
              <w:t>; e (b) ao final do dia da Segunda Data de Corte, conforme posição de custódia: (1) na Central Depositária; e (2) na Instituição Escrituradora, observado</w:t>
            </w:r>
            <w:r w:rsidRPr="006A49F4">
              <w:rPr>
                <w:rFonts w:ascii="Verdana" w:hAnsi="Verdana"/>
                <w:spacing w:val="-11"/>
                <w:sz w:val="18"/>
                <w:szCs w:val="18"/>
              </w:rPr>
              <w:t xml:space="preserve"> </w:t>
            </w:r>
            <w:r w:rsidRPr="006A49F4">
              <w:rPr>
                <w:rFonts w:ascii="Verdana" w:hAnsi="Verdana"/>
                <w:sz w:val="18"/>
                <w:szCs w:val="18"/>
              </w:rPr>
              <w:t>o</w:t>
            </w:r>
            <w:r w:rsidRPr="006A49F4">
              <w:rPr>
                <w:rFonts w:ascii="Verdana" w:hAnsi="Verdana"/>
                <w:spacing w:val="-11"/>
                <w:sz w:val="18"/>
                <w:szCs w:val="18"/>
              </w:rPr>
              <w:t xml:space="preserve"> </w:t>
            </w:r>
            <w:r w:rsidRPr="006A49F4">
              <w:rPr>
                <w:rFonts w:ascii="Verdana" w:hAnsi="Verdana"/>
                <w:sz w:val="18"/>
                <w:szCs w:val="18"/>
              </w:rPr>
              <w:t>Limite</w:t>
            </w:r>
            <w:r w:rsidRPr="006A49F4">
              <w:rPr>
                <w:rFonts w:ascii="Verdana" w:hAnsi="Verdana"/>
                <w:spacing w:val="-11"/>
                <w:sz w:val="18"/>
                <w:szCs w:val="18"/>
              </w:rPr>
              <w:t xml:space="preserve"> </w:t>
            </w:r>
            <w:r w:rsidRPr="006A49F4">
              <w:rPr>
                <w:rFonts w:ascii="Verdana" w:hAnsi="Verdana"/>
                <w:sz w:val="18"/>
                <w:szCs w:val="18"/>
              </w:rPr>
              <w:t>de</w:t>
            </w:r>
            <w:r w:rsidRPr="006A49F4">
              <w:rPr>
                <w:rFonts w:ascii="Verdana" w:hAnsi="Verdana"/>
                <w:spacing w:val="-11"/>
                <w:sz w:val="18"/>
                <w:szCs w:val="18"/>
              </w:rPr>
              <w:t xml:space="preserve"> </w:t>
            </w:r>
            <w:r w:rsidRPr="006A49F4">
              <w:rPr>
                <w:rFonts w:ascii="Verdana" w:hAnsi="Verdana"/>
                <w:sz w:val="18"/>
                <w:szCs w:val="18"/>
              </w:rPr>
              <w:t>Subscrição</w:t>
            </w:r>
            <w:r w:rsidRPr="006A49F4">
              <w:rPr>
                <w:rFonts w:ascii="Verdana" w:hAnsi="Verdana"/>
                <w:spacing w:val="-13"/>
                <w:sz w:val="18"/>
                <w:szCs w:val="18"/>
              </w:rPr>
              <w:t xml:space="preserve"> </w:t>
            </w:r>
            <w:r w:rsidRPr="006A49F4">
              <w:rPr>
                <w:rFonts w:ascii="Verdana" w:hAnsi="Verdana"/>
                <w:sz w:val="18"/>
                <w:szCs w:val="18"/>
              </w:rPr>
              <w:t>Proporcional</w:t>
            </w:r>
            <w:r w:rsidRPr="006A49F4">
              <w:rPr>
                <w:rFonts w:ascii="Verdana" w:hAnsi="Verdana"/>
                <w:spacing w:val="-13"/>
                <w:sz w:val="18"/>
                <w:szCs w:val="18"/>
              </w:rPr>
              <w:t xml:space="preserve"> </w:t>
            </w:r>
            <w:r w:rsidRPr="006A49F4">
              <w:rPr>
                <w:rFonts w:ascii="Verdana" w:hAnsi="Verdana"/>
                <w:sz w:val="18"/>
                <w:szCs w:val="18"/>
              </w:rPr>
              <w:t>(conforme</w:t>
            </w:r>
            <w:r w:rsidRPr="006A49F4">
              <w:rPr>
                <w:rFonts w:ascii="Verdana" w:hAnsi="Verdana"/>
                <w:spacing w:val="-11"/>
                <w:sz w:val="18"/>
                <w:szCs w:val="18"/>
              </w:rPr>
              <w:t xml:space="preserve"> </w:t>
            </w:r>
            <w:r w:rsidRPr="006A49F4">
              <w:rPr>
                <w:rFonts w:ascii="Verdana" w:hAnsi="Verdana"/>
                <w:sz w:val="18"/>
                <w:szCs w:val="18"/>
              </w:rPr>
              <w:t>definido</w:t>
            </w:r>
            <w:r w:rsidRPr="006A49F4">
              <w:rPr>
                <w:rFonts w:ascii="Verdana" w:hAnsi="Verdana"/>
                <w:spacing w:val="-11"/>
                <w:sz w:val="18"/>
                <w:szCs w:val="18"/>
              </w:rPr>
              <w:t xml:space="preserve"> </w:t>
            </w:r>
            <w:r w:rsidRPr="006A49F4">
              <w:rPr>
                <w:rFonts w:ascii="Verdana" w:hAnsi="Verdana"/>
                <w:sz w:val="18"/>
                <w:szCs w:val="18"/>
              </w:rPr>
              <w:t>abaixo)</w:t>
            </w:r>
            <w:r w:rsidRPr="006A49F4">
              <w:rPr>
                <w:rFonts w:ascii="Verdana" w:hAnsi="Verdana"/>
                <w:spacing w:val="-10"/>
                <w:sz w:val="18"/>
                <w:szCs w:val="18"/>
              </w:rPr>
              <w:t xml:space="preserve"> </w:t>
            </w:r>
            <w:r w:rsidRPr="006A49F4">
              <w:rPr>
                <w:rFonts w:ascii="Verdana" w:hAnsi="Verdana"/>
                <w:sz w:val="18"/>
                <w:szCs w:val="18"/>
              </w:rPr>
              <w:t>e</w:t>
            </w:r>
            <w:r w:rsidRPr="006A49F4">
              <w:rPr>
                <w:rFonts w:ascii="Verdana" w:hAnsi="Verdana"/>
                <w:spacing w:val="-11"/>
                <w:sz w:val="18"/>
                <w:szCs w:val="18"/>
              </w:rPr>
              <w:t xml:space="preserve"> </w:t>
            </w:r>
            <w:r w:rsidRPr="006A49F4">
              <w:rPr>
                <w:rFonts w:ascii="Verdana" w:hAnsi="Verdana"/>
                <w:sz w:val="18"/>
                <w:szCs w:val="18"/>
              </w:rPr>
              <w:t>desde</w:t>
            </w:r>
            <w:r w:rsidRPr="006A49F4">
              <w:rPr>
                <w:rFonts w:ascii="Verdana" w:hAnsi="Verdana"/>
                <w:spacing w:val="-13"/>
                <w:sz w:val="18"/>
                <w:szCs w:val="18"/>
              </w:rPr>
              <w:t xml:space="preserve"> </w:t>
            </w:r>
            <w:r w:rsidRPr="006A49F4">
              <w:rPr>
                <w:rFonts w:ascii="Verdana" w:hAnsi="Verdana"/>
                <w:sz w:val="18"/>
                <w:szCs w:val="18"/>
              </w:rPr>
              <w:t>que</w:t>
            </w:r>
            <w:r w:rsidRPr="006A49F4">
              <w:rPr>
                <w:rFonts w:ascii="Verdana" w:hAnsi="Verdana"/>
                <w:spacing w:val="-11"/>
                <w:sz w:val="18"/>
                <w:szCs w:val="18"/>
              </w:rPr>
              <w:t xml:space="preserve"> </w:t>
            </w:r>
            <w:r w:rsidRPr="006A49F4">
              <w:rPr>
                <w:rFonts w:ascii="Verdana" w:hAnsi="Verdana"/>
                <w:sz w:val="18"/>
                <w:szCs w:val="18"/>
              </w:rPr>
              <w:t>permaneçam</w:t>
            </w:r>
            <w:r w:rsidRPr="006A49F4">
              <w:rPr>
                <w:rFonts w:ascii="Verdana" w:hAnsi="Verdana"/>
                <w:spacing w:val="-10"/>
                <w:sz w:val="18"/>
                <w:szCs w:val="18"/>
              </w:rPr>
              <w:t xml:space="preserve"> </w:t>
            </w:r>
            <w:r w:rsidRPr="006A49F4">
              <w:rPr>
                <w:rFonts w:ascii="Verdana" w:hAnsi="Verdana"/>
                <w:sz w:val="18"/>
                <w:szCs w:val="18"/>
              </w:rPr>
              <w:t>titulares</w:t>
            </w:r>
            <w:r w:rsidRPr="006A49F4">
              <w:rPr>
                <w:rFonts w:ascii="Verdana" w:hAnsi="Verdana"/>
                <w:spacing w:val="-12"/>
                <w:sz w:val="18"/>
                <w:szCs w:val="18"/>
              </w:rPr>
              <w:t xml:space="preserve"> </w:t>
            </w:r>
            <w:r w:rsidRPr="006A49F4">
              <w:rPr>
                <w:rFonts w:ascii="Verdana" w:hAnsi="Verdana"/>
                <w:sz w:val="18"/>
                <w:szCs w:val="18"/>
              </w:rPr>
              <w:t>de</w:t>
            </w:r>
            <w:r w:rsidRPr="006A49F4">
              <w:rPr>
                <w:rFonts w:ascii="Verdana" w:hAnsi="Verdana"/>
                <w:spacing w:val="-11"/>
                <w:sz w:val="18"/>
                <w:szCs w:val="18"/>
              </w:rPr>
              <w:t xml:space="preserve"> </w:t>
            </w:r>
            <w:r w:rsidRPr="006A49F4">
              <w:rPr>
                <w:rFonts w:ascii="Verdana" w:hAnsi="Verdana"/>
                <w:sz w:val="18"/>
                <w:szCs w:val="18"/>
              </w:rPr>
              <w:t>ações ordinárias de emissão da Companhia na Segunda Data de Corte</w:t>
            </w:r>
            <w:r w:rsidR="003A0374" w:rsidRPr="00F0577F">
              <w:rPr>
                <w:rFonts w:ascii="Verdana" w:hAnsi="Verdana" w:cs="Arial"/>
                <w:bCs/>
                <w:sz w:val="18"/>
                <w:szCs w:val="18"/>
              </w:rPr>
              <w:t xml:space="preserve"> (</w:t>
            </w:r>
            <w:r w:rsidR="00750320" w:rsidRPr="00F0577F">
              <w:rPr>
                <w:rFonts w:ascii="Verdana" w:hAnsi="Verdana" w:cs="Arial"/>
                <w:bCs/>
                <w:sz w:val="18"/>
                <w:szCs w:val="18"/>
              </w:rPr>
              <w:t>“</w:t>
            </w:r>
            <w:r w:rsidR="003A0374" w:rsidRPr="00F0577F">
              <w:rPr>
                <w:rFonts w:ascii="Verdana" w:hAnsi="Verdana" w:cs="Arial"/>
                <w:b/>
                <w:sz w:val="18"/>
                <w:szCs w:val="18"/>
              </w:rPr>
              <w:t>Oferta Prioritária</w:t>
            </w:r>
            <w:r w:rsidR="00750320" w:rsidRPr="00F0577F">
              <w:rPr>
                <w:rFonts w:ascii="Verdana" w:hAnsi="Verdana" w:cs="Arial"/>
                <w:bCs/>
                <w:sz w:val="18"/>
                <w:szCs w:val="18"/>
              </w:rPr>
              <w:t>”</w:t>
            </w:r>
            <w:r w:rsidR="003A0374" w:rsidRPr="00F0577F">
              <w:rPr>
                <w:rFonts w:ascii="Verdana" w:hAnsi="Verdana" w:cs="Arial"/>
                <w:bCs/>
                <w:sz w:val="18"/>
                <w:szCs w:val="18"/>
              </w:rPr>
              <w:t xml:space="preserve">). </w:t>
            </w:r>
            <w:r w:rsidR="00E46578" w:rsidRPr="00E46578">
              <w:rPr>
                <w:rFonts w:ascii="Verdana" w:hAnsi="Verdana" w:cs="Arial"/>
                <w:sz w:val="18"/>
                <w:szCs w:val="18"/>
              </w:rPr>
              <w:t xml:space="preserve">O Direito de Prioridade é destinado aos Acionistas, sendo que seus respectivos limites de subscrição proporcional serão </w:t>
            </w:r>
            <w:r w:rsidR="00E46578" w:rsidRPr="00E46578">
              <w:rPr>
                <w:rFonts w:ascii="Verdana" w:hAnsi="Verdana" w:cs="Arial"/>
                <w:sz w:val="18"/>
                <w:szCs w:val="18"/>
              </w:rPr>
              <w:lastRenderedPageBreak/>
              <w:t>calculados de acordo com a participação de cada Acionista no capital social total da Companhia ao final da Segunda Data de Corte, desconsiderando-se as ações de emissão da Companhia eventualmente mantidas em tesouraria,</w:t>
            </w:r>
            <w:r w:rsidR="00E46578" w:rsidRPr="00E46578">
              <w:rPr>
                <w:rFonts w:ascii="Verdana" w:hAnsi="Verdana" w:cs="Arial"/>
                <w:spacing w:val="-12"/>
                <w:sz w:val="18"/>
                <w:szCs w:val="18"/>
              </w:rPr>
              <w:t xml:space="preserve"> </w:t>
            </w:r>
            <w:r w:rsidR="00E46578" w:rsidRPr="00E46578">
              <w:rPr>
                <w:rFonts w:ascii="Verdana" w:hAnsi="Verdana" w:cs="Arial"/>
                <w:sz w:val="18"/>
                <w:szCs w:val="18"/>
              </w:rPr>
              <w:t>sendo</w:t>
            </w:r>
            <w:r w:rsidR="00E46578" w:rsidRPr="00E46578">
              <w:rPr>
                <w:rFonts w:ascii="Verdana" w:hAnsi="Verdana" w:cs="Arial"/>
                <w:spacing w:val="-12"/>
                <w:sz w:val="18"/>
                <w:szCs w:val="18"/>
              </w:rPr>
              <w:t xml:space="preserve"> </w:t>
            </w:r>
            <w:r w:rsidR="00E46578" w:rsidRPr="00E46578">
              <w:rPr>
                <w:rFonts w:ascii="Verdana" w:hAnsi="Verdana" w:cs="Arial"/>
                <w:sz w:val="18"/>
                <w:szCs w:val="18"/>
              </w:rPr>
              <w:t>que</w:t>
            </w:r>
            <w:r w:rsidR="00E46578" w:rsidRPr="00E46578">
              <w:rPr>
                <w:rFonts w:ascii="Verdana" w:hAnsi="Verdana" w:cs="Arial"/>
                <w:spacing w:val="-12"/>
                <w:sz w:val="18"/>
                <w:szCs w:val="18"/>
              </w:rPr>
              <w:t xml:space="preserve"> </w:t>
            </w:r>
            <w:r w:rsidR="00E46578" w:rsidRPr="00E46578">
              <w:rPr>
                <w:rFonts w:ascii="Verdana" w:hAnsi="Verdana" w:cs="Arial"/>
                <w:sz w:val="18"/>
                <w:szCs w:val="18"/>
              </w:rPr>
              <w:t>cada</w:t>
            </w:r>
            <w:r w:rsidR="00E46578" w:rsidRPr="00E46578">
              <w:rPr>
                <w:rFonts w:ascii="Verdana" w:hAnsi="Verdana" w:cs="Arial"/>
                <w:spacing w:val="-6"/>
                <w:sz w:val="18"/>
                <w:szCs w:val="18"/>
              </w:rPr>
              <w:t xml:space="preserve"> </w:t>
            </w:r>
            <w:r w:rsidR="00E46578" w:rsidRPr="00E46578">
              <w:rPr>
                <w:rFonts w:ascii="Verdana" w:hAnsi="Verdana" w:cs="Arial"/>
                <w:sz w:val="18"/>
                <w:szCs w:val="18"/>
              </w:rPr>
              <w:t>ação</w:t>
            </w:r>
            <w:r w:rsidR="00E46578" w:rsidRPr="00E46578">
              <w:rPr>
                <w:rFonts w:ascii="Verdana" w:hAnsi="Verdana" w:cs="Arial"/>
                <w:spacing w:val="-11"/>
                <w:sz w:val="18"/>
                <w:szCs w:val="18"/>
              </w:rPr>
              <w:t xml:space="preserve"> </w:t>
            </w:r>
            <w:r w:rsidR="00E46578" w:rsidRPr="00E46578">
              <w:rPr>
                <w:rFonts w:ascii="Verdana" w:hAnsi="Verdana" w:cs="Arial"/>
                <w:sz w:val="18"/>
                <w:szCs w:val="18"/>
              </w:rPr>
              <w:t>de</w:t>
            </w:r>
            <w:r w:rsidR="00E46578" w:rsidRPr="00E46578">
              <w:rPr>
                <w:rFonts w:ascii="Verdana" w:hAnsi="Verdana" w:cs="Arial"/>
                <w:spacing w:val="-9"/>
                <w:sz w:val="18"/>
                <w:szCs w:val="18"/>
              </w:rPr>
              <w:t xml:space="preserve"> </w:t>
            </w:r>
            <w:r w:rsidR="00E46578" w:rsidRPr="00E46578">
              <w:rPr>
                <w:rFonts w:ascii="Verdana" w:hAnsi="Verdana" w:cs="Arial"/>
                <w:sz w:val="18"/>
                <w:szCs w:val="18"/>
              </w:rPr>
              <w:t>emissão</w:t>
            </w:r>
            <w:r w:rsidR="00E46578" w:rsidRPr="00E46578">
              <w:rPr>
                <w:rFonts w:ascii="Verdana" w:hAnsi="Verdana" w:cs="Arial"/>
                <w:spacing w:val="-12"/>
                <w:sz w:val="18"/>
                <w:szCs w:val="18"/>
              </w:rPr>
              <w:t xml:space="preserve"> </w:t>
            </w:r>
            <w:r w:rsidR="00E46578" w:rsidRPr="00E46578">
              <w:rPr>
                <w:rFonts w:ascii="Verdana" w:hAnsi="Verdana" w:cs="Arial"/>
                <w:sz w:val="18"/>
                <w:szCs w:val="18"/>
              </w:rPr>
              <w:t>da</w:t>
            </w:r>
            <w:r w:rsidR="00E46578" w:rsidRPr="00E46578">
              <w:rPr>
                <w:rFonts w:ascii="Verdana" w:hAnsi="Verdana" w:cs="Arial"/>
                <w:spacing w:val="-11"/>
                <w:sz w:val="18"/>
                <w:szCs w:val="18"/>
              </w:rPr>
              <w:t xml:space="preserve"> </w:t>
            </w:r>
            <w:r w:rsidR="00E46578" w:rsidRPr="00E46578">
              <w:rPr>
                <w:rFonts w:ascii="Verdana" w:hAnsi="Verdana" w:cs="Arial"/>
                <w:sz w:val="18"/>
                <w:szCs w:val="18"/>
              </w:rPr>
              <w:t>Companhia</w:t>
            </w:r>
            <w:r w:rsidR="00E46578" w:rsidRPr="00E46578">
              <w:rPr>
                <w:rFonts w:ascii="Verdana" w:hAnsi="Verdana" w:cs="Arial"/>
                <w:spacing w:val="-11"/>
                <w:sz w:val="18"/>
                <w:szCs w:val="18"/>
              </w:rPr>
              <w:t xml:space="preserve"> </w:t>
            </w:r>
            <w:r w:rsidR="00E46578" w:rsidRPr="00E46578">
              <w:rPr>
                <w:rFonts w:ascii="Verdana" w:hAnsi="Verdana" w:cs="Arial"/>
                <w:sz w:val="18"/>
                <w:szCs w:val="18"/>
              </w:rPr>
              <w:t>de</w:t>
            </w:r>
            <w:r w:rsidR="00E46578" w:rsidRPr="00E46578">
              <w:rPr>
                <w:rFonts w:ascii="Verdana" w:hAnsi="Verdana" w:cs="Arial"/>
                <w:spacing w:val="-11"/>
                <w:sz w:val="18"/>
                <w:szCs w:val="18"/>
              </w:rPr>
              <w:t xml:space="preserve"> </w:t>
            </w:r>
            <w:r w:rsidR="00E46578" w:rsidRPr="00E46578">
              <w:rPr>
                <w:rFonts w:ascii="Verdana" w:hAnsi="Verdana" w:cs="Arial"/>
                <w:sz w:val="18"/>
                <w:szCs w:val="18"/>
              </w:rPr>
              <w:t>titularidade</w:t>
            </w:r>
            <w:r w:rsidR="00E46578" w:rsidRPr="00E46578">
              <w:rPr>
                <w:rFonts w:ascii="Verdana" w:hAnsi="Verdana" w:cs="Arial"/>
                <w:spacing w:val="-11"/>
                <w:sz w:val="18"/>
                <w:szCs w:val="18"/>
              </w:rPr>
              <w:t xml:space="preserve"> </w:t>
            </w:r>
            <w:r w:rsidR="00E46578" w:rsidRPr="00E46578">
              <w:rPr>
                <w:rFonts w:ascii="Verdana" w:hAnsi="Verdana" w:cs="Arial"/>
                <w:sz w:val="18"/>
                <w:szCs w:val="18"/>
              </w:rPr>
              <w:t>do</w:t>
            </w:r>
            <w:r w:rsidR="00E46578" w:rsidRPr="00E46578">
              <w:rPr>
                <w:rFonts w:ascii="Verdana" w:hAnsi="Verdana" w:cs="Arial"/>
                <w:spacing w:val="-5"/>
                <w:sz w:val="18"/>
                <w:szCs w:val="18"/>
              </w:rPr>
              <w:t xml:space="preserve"> </w:t>
            </w:r>
            <w:r w:rsidR="00E46578" w:rsidRPr="00E46578">
              <w:rPr>
                <w:rFonts w:ascii="Verdana" w:hAnsi="Verdana" w:cs="Arial"/>
                <w:sz w:val="18"/>
                <w:szCs w:val="18"/>
              </w:rPr>
              <w:t>Acionista na</w:t>
            </w:r>
            <w:r w:rsidR="00E46578" w:rsidRPr="00E46578">
              <w:rPr>
                <w:rFonts w:ascii="Verdana" w:hAnsi="Verdana" w:cs="Arial"/>
                <w:spacing w:val="-4"/>
                <w:sz w:val="18"/>
                <w:szCs w:val="18"/>
              </w:rPr>
              <w:t xml:space="preserve"> </w:t>
            </w:r>
            <w:r w:rsidR="00E46578" w:rsidRPr="00E46578">
              <w:rPr>
                <w:rFonts w:ascii="Verdana" w:hAnsi="Verdana" w:cs="Arial"/>
                <w:sz w:val="18"/>
                <w:szCs w:val="18"/>
              </w:rPr>
              <w:t>Segunda</w:t>
            </w:r>
            <w:r w:rsidR="00E46578" w:rsidRPr="00E46578">
              <w:rPr>
                <w:rFonts w:ascii="Verdana" w:hAnsi="Verdana" w:cs="Arial"/>
                <w:spacing w:val="-1"/>
                <w:sz w:val="18"/>
                <w:szCs w:val="18"/>
              </w:rPr>
              <w:t xml:space="preserve"> </w:t>
            </w:r>
            <w:r w:rsidR="00E46578" w:rsidRPr="00E46578">
              <w:rPr>
                <w:rFonts w:ascii="Verdana" w:hAnsi="Verdana" w:cs="Arial"/>
                <w:sz w:val="18"/>
                <w:szCs w:val="18"/>
              </w:rPr>
              <w:t>Data</w:t>
            </w:r>
            <w:r w:rsidR="00E46578" w:rsidRPr="00E46578">
              <w:rPr>
                <w:rFonts w:ascii="Verdana" w:hAnsi="Verdana" w:cs="Arial"/>
                <w:spacing w:val="-2"/>
                <w:sz w:val="18"/>
                <w:szCs w:val="18"/>
              </w:rPr>
              <w:t xml:space="preserve"> </w:t>
            </w:r>
            <w:r w:rsidR="00E46578" w:rsidRPr="00E46578">
              <w:rPr>
                <w:rFonts w:ascii="Verdana" w:hAnsi="Verdana" w:cs="Arial"/>
                <w:sz w:val="18"/>
                <w:szCs w:val="18"/>
              </w:rPr>
              <w:t>de</w:t>
            </w:r>
            <w:r w:rsidR="00E46578" w:rsidRPr="00E46578">
              <w:rPr>
                <w:rFonts w:ascii="Verdana" w:hAnsi="Verdana" w:cs="Arial"/>
                <w:spacing w:val="-4"/>
                <w:sz w:val="18"/>
                <w:szCs w:val="18"/>
              </w:rPr>
              <w:t xml:space="preserve"> </w:t>
            </w:r>
            <w:r w:rsidR="00E46578" w:rsidRPr="00E46578">
              <w:rPr>
                <w:rFonts w:ascii="Verdana" w:hAnsi="Verdana" w:cs="Arial"/>
                <w:sz w:val="18"/>
                <w:szCs w:val="18"/>
              </w:rPr>
              <w:t>Corte</w:t>
            </w:r>
            <w:r w:rsidR="00E46578" w:rsidRPr="00E46578">
              <w:rPr>
                <w:rFonts w:ascii="Verdana" w:hAnsi="Verdana" w:cs="Arial"/>
                <w:spacing w:val="-1"/>
                <w:sz w:val="18"/>
                <w:szCs w:val="18"/>
              </w:rPr>
              <w:t xml:space="preserve"> </w:t>
            </w:r>
            <w:r w:rsidR="00E46578" w:rsidRPr="00E46578">
              <w:rPr>
                <w:rFonts w:ascii="Verdana" w:hAnsi="Verdana" w:cs="Arial"/>
                <w:sz w:val="18"/>
                <w:szCs w:val="18"/>
              </w:rPr>
              <w:t>irá</w:t>
            </w:r>
            <w:r w:rsidR="00E46578" w:rsidRPr="00E46578">
              <w:rPr>
                <w:rFonts w:ascii="Verdana" w:hAnsi="Verdana" w:cs="Arial"/>
                <w:spacing w:val="-3"/>
                <w:sz w:val="18"/>
                <w:szCs w:val="18"/>
              </w:rPr>
              <w:t xml:space="preserve"> </w:t>
            </w:r>
            <w:r w:rsidR="00E46578" w:rsidRPr="00E46578">
              <w:rPr>
                <w:rFonts w:ascii="Verdana" w:hAnsi="Verdana" w:cs="Arial"/>
                <w:sz w:val="18"/>
                <w:szCs w:val="18"/>
              </w:rPr>
              <w:t xml:space="preserve">assegurar ao </w:t>
            </w:r>
            <w:r w:rsidR="00571F6D">
              <w:rPr>
                <w:rFonts w:ascii="Verdana" w:hAnsi="Verdana" w:cs="Arial"/>
                <w:sz w:val="18"/>
                <w:szCs w:val="18"/>
              </w:rPr>
              <w:t>A</w:t>
            </w:r>
            <w:r w:rsidR="00571F6D" w:rsidRPr="00E46578">
              <w:rPr>
                <w:rFonts w:ascii="Verdana" w:hAnsi="Verdana" w:cs="Arial"/>
                <w:sz w:val="18"/>
                <w:szCs w:val="18"/>
              </w:rPr>
              <w:t>cionista</w:t>
            </w:r>
            <w:r w:rsidR="00571F6D" w:rsidRPr="00E46578">
              <w:rPr>
                <w:rFonts w:ascii="Verdana" w:hAnsi="Verdana"/>
                <w:sz w:val="18"/>
                <w:szCs w:val="18"/>
              </w:rPr>
              <w:t xml:space="preserve"> </w:t>
            </w:r>
            <w:r w:rsidR="00E46578" w:rsidRPr="00E46578">
              <w:rPr>
                <w:rFonts w:ascii="Verdana" w:hAnsi="Verdana" w:cs="Arial"/>
                <w:sz w:val="18"/>
                <w:szCs w:val="18"/>
              </w:rPr>
              <w:t>o</w:t>
            </w:r>
            <w:r w:rsidR="00E46578" w:rsidRPr="00E46578">
              <w:rPr>
                <w:rFonts w:ascii="Verdana" w:hAnsi="Verdana" w:cs="Arial"/>
                <w:spacing w:val="-1"/>
                <w:sz w:val="18"/>
                <w:szCs w:val="18"/>
              </w:rPr>
              <w:t xml:space="preserve"> </w:t>
            </w:r>
            <w:r w:rsidR="00E46578" w:rsidRPr="00E46578">
              <w:rPr>
                <w:rFonts w:ascii="Verdana" w:hAnsi="Verdana" w:cs="Arial"/>
                <w:sz w:val="18"/>
                <w:szCs w:val="18"/>
              </w:rPr>
              <w:t>direito</w:t>
            </w:r>
            <w:r w:rsidR="00E46578" w:rsidRPr="00E46578">
              <w:rPr>
                <w:rFonts w:ascii="Verdana" w:hAnsi="Verdana" w:cs="Arial"/>
                <w:spacing w:val="-4"/>
                <w:sz w:val="18"/>
                <w:szCs w:val="18"/>
              </w:rPr>
              <w:t xml:space="preserve"> </w:t>
            </w:r>
            <w:r w:rsidR="00E46578" w:rsidRPr="00E46578">
              <w:rPr>
                <w:rFonts w:ascii="Verdana" w:hAnsi="Verdana" w:cs="Arial"/>
                <w:sz w:val="18"/>
                <w:szCs w:val="18"/>
              </w:rPr>
              <w:t>de</w:t>
            </w:r>
            <w:r w:rsidR="00E46578" w:rsidRPr="00E46578">
              <w:rPr>
                <w:rFonts w:ascii="Verdana" w:hAnsi="Verdana" w:cs="Arial"/>
                <w:spacing w:val="-3"/>
                <w:sz w:val="18"/>
                <w:szCs w:val="18"/>
              </w:rPr>
              <w:t xml:space="preserve"> </w:t>
            </w:r>
            <w:r w:rsidR="00E46578" w:rsidRPr="00E46578">
              <w:rPr>
                <w:rFonts w:ascii="Verdana" w:hAnsi="Verdana" w:cs="Arial"/>
                <w:sz w:val="18"/>
                <w:szCs w:val="18"/>
              </w:rPr>
              <w:t>subscrever</w:t>
            </w:r>
            <w:r w:rsidR="00E46578" w:rsidRPr="00E46578">
              <w:rPr>
                <w:rFonts w:ascii="Verdana" w:hAnsi="Verdana"/>
                <w:sz w:val="18"/>
                <w:szCs w:val="18"/>
              </w:rPr>
              <w:t xml:space="preserve"> </w:t>
            </w:r>
            <w:r w:rsidR="00E46578" w:rsidRPr="00E46578">
              <w:rPr>
                <w:rFonts w:ascii="Verdana" w:hAnsi="Verdana" w:cs="Arial"/>
                <w:sz w:val="18"/>
                <w:szCs w:val="18"/>
              </w:rPr>
              <w:t>até</w:t>
            </w:r>
            <w:r w:rsidR="00E46578" w:rsidRPr="00E46578">
              <w:rPr>
                <w:rFonts w:ascii="Verdana" w:hAnsi="Verdana" w:cs="Arial"/>
                <w:spacing w:val="-2"/>
                <w:sz w:val="18"/>
                <w:szCs w:val="18"/>
              </w:rPr>
              <w:t xml:space="preserve"> </w:t>
            </w:r>
            <w:r w:rsidR="00571F6D" w:rsidRPr="00571F6D">
              <w:rPr>
                <w:rFonts w:ascii="Verdana" w:hAnsi="Verdana" w:cs="Arial"/>
                <w:sz w:val="18"/>
                <w:szCs w:val="18"/>
              </w:rPr>
              <w:t>(a)</w:t>
            </w:r>
            <w:r w:rsidR="00EB4F27">
              <w:rPr>
                <w:rFonts w:ascii="Verdana" w:hAnsi="Verdana" w:cs="Arial"/>
                <w:sz w:val="18"/>
                <w:szCs w:val="18"/>
              </w:rPr>
              <w:t> </w:t>
            </w:r>
            <w:r w:rsidR="00EB4F27" w:rsidRPr="00EB4F27">
              <w:rPr>
                <w:rFonts w:ascii="Verdana" w:hAnsi="Verdana" w:cs="Arial"/>
                <w:sz w:val="18"/>
                <w:szCs w:val="18"/>
              </w:rPr>
              <w:t>4,914838</w:t>
            </w:r>
            <w:r w:rsidR="00571F6D" w:rsidRPr="00571F6D">
              <w:rPr>
                <w:rFonts w:ascii="Verdana" w:hAnsi="Verdana" w:cs="Arial"/>
                <w:sz w:val="18"/>
                <w:szCs w:val="18"/>
              </w:rPr>
              <w:t xml:space="preserve"> Ações, caso não ocorra a distribuição parcial das Ações; e (b)</w:t>
            </w:r>
            <w:r w:rsidR="00EB4F27">
              <w:rPr>
                <w:rFonts w:ascii="Verdana" w:hAnsi="Verdana" w:cs="Arial"/>
                <w:sz w:val="18"/>
                <w:szCs w:val="18"/>
              </w:rPr>
              <w:t> </w:t>
            </w:r>
            <w:r w:rsidR="00EB4F27" w:rsidRPr="00EB4F27">
              <w:rPr>
                <w:rFonts w:ascii="Verdana" w:hAnsi="Verdana" w:cs="Arial"/>
                <w:sz w:val="18"/>
                <w:szCs w:val="18"/>
              </w:rPr>
              <w:t>3,874838</w:t>
            </w:r>
            <w:r w:rsidR="00EB4F27">
              <w:rPr>
                <w:rFonts w:cs="Arial"/>
                <w:bCs/>
              </w:rPr>
              <w:t xml:space="preserve"> </w:t>
            </w:r>
            <w:r w:rsidR="00571F6D" w:rsidRPr="00571F6D">
              <w:rPr>
                <w:rFonts w:ascii="Verdana" w:hAnsi="Verdana" w:cs="Arial"/>
                <w:sz w:val="18"/>
                <w:szCs w:val="18"/>
              </w:rPr>
              <w:t xml:space="preserve"> Ações, caso ocorra a distribuição parcial das Ações, observada a Quantidade Mínima de Ações</w:t>
            </w:r>
            <w:r w:rsidR="00E46578" w:rsidRPr="00E46578">
              <w:rPr>
                <w:rFonts w:ascii="Verdana" w:hAnsi="Verdana" w:cs="Arial"/>
                <w:sz w:val="18"/>
                <w:szCs w:val="18"/>
              </w:rPr>
              <w:t xml:space="preserve"> (“</w:t>
            </w:r>
            <w:r w:rsidR="00E46578" w:rsidRPr="00E46578">
              <w:rPr>
                <w:rFonts w:ascii="Verdana" w:hAnsi="Verdana" w:cs="Arial"/>
                <w:b/>
                <w:sz w:val="18"/>
                <w:szCs w:val="18"/>
              </w:rPr>
              <w:t>Limite</w:t>
            </w:r>
            <w:r w:rsidR="00E46578" w:rsidRPr="00E46578">
              <w:rPr>
                <w:rFonts w:ascii="Verdana" w:hAnsi="Verdana" w:cs="Arial"/>
                <w:b/>
                <w:spacing w:val="-14"/>
                <w:sz w:val="18"/>
                <w:szCs w:val="18"/>
              </w:rPr>
              <w:t xml:space="preserve"> </w:t>
            </w:r>
            <w:r w:rsidR="00E46578" w:rsidRPr="00E46578">
              <w:rPr>
                <w:rFonts w:ascii="Verdana" w:hAnsi="Verdana" w:cs="Arial"/>
                <w:b/>
                <w:sz w:val="18"/>
                <w:szCs w:val="18"/>
              </w:rPr>
              <w:t>de</w:t>
            </w:r>
            <w:r w:rsidR="00E46578" w:rsidRPr="00E46578">
              <w:rPr>
                <w:rFonts w:ascii="Verdana" w:hAnsi="Verdana" w:cs="Arial"/>
                <w:b/>
                <w:spacing w:val="-14"/>
                <w:sz w:val="18"/>
                <w:szCs w:val="18"/>
              </w:rPr>
              <w:t xml:space="preserve"> </w:t>
            </w:r>
            <w:r w:rsidR="00E46578" w:rsidRPr="00E46578">
              <w:rPr>
                <w:rFonts w:ascii="Verdana" w:hAnsi="Verdana" w:cs="Arial"/>
                <w:b/>
                <w:sz w:val="18"/>
                <w:szCs w:val="18"/>
              </w:rPr>
              <w:t>Subscrição</w:t>
            </w:r>
            <w:r w:rsidR="00E46578" w:rsidRPr="00E46578">
              <w:rPr>
                <w:rFonts w:ascii="Verdana" w:hAnsi="Verdana" w:cs="Arial"/>
                <w:b/>
                <w:spacing w:val="-14"/>
                <w:sz w:val="18"/>
                <w:szCs w:val="18"/>
              </w:rPr>
              <w:t xml:space="preserve"> </w:t>
            </w:r>
            <w:r w:rsidR="00E46578" w:rsidRPr="00E46578">
              <w:rPr>
                <w:rFonts w:ascii="Verdana" w:hAnsi="Verdana" w:cs="Arial"/>
                <w:b/>
                <w:sz w:val="18"/>
                <w:szCs w:val="18"/>
              </w:rPr>
              <w:t>Proporcional</w:t>
            </w:r>
            <w:r w:rsidR="00E46578" w:rsidRPr="00E46578">
              <w:rPr>
                <w:rFonts w:ascii="Verdana" w:hAnsi="Verdana" w:cs="Arial"/>
                <w:sz w:val="18"/>
                <w:szCs w:val="18"/>
              </w:rPr>
              <w:t>”)</w:t>
            </w:r>
            <w:r w:rsidR="003A0374" w:rsidRPr="00E46578">
              <w:rPr>
                <w:rFonts w:ascii="Verdana" w:hAnsi="Verdana" w:cs="Arial"/>
                <w:bCs/>
                <w:sz w:val="18"/>
                <w:szCs w:val="18"/>
              </w:rPr>
              <w:t>.</w:t>
            </w:r>
          </w:p>
        </w:tc>
        <w:tc>
          <w:tcPr>
            <w:tcW w:w="5168" w:type="dxa"/>
          </w:tcPr>
          <w:p w14:paraId="178993DB" w14:textId="49188A31" w:rsidR="00FC01B3" w:rsidRPr="00FC01B3" w:rsidRDefault="006D7D0B" w:rsidP="006A49F4">
            <w:pPr>
              <w:pStyle w:val="Corpodetexto"/>
              <w:tabs>
                <w:tab w:val="left" w:pos="0"/>
                <w:tab w:val="left" w:pos="817"/>
              </w:tabs>
              <w:spacing w:line="320" w:lineRule="exact"/>
              <w:jc w:val="both"/>
              <w:rPr>
                <w:rFonts w:ascii="Verdana" w:hAnsi="Verdana" w:cs="Arial"/>
                <w:lang w:val="en-US"/>
              </w:rPr>
            </w:pPr>
            <w:r w:rsidRPr="00295D4D">
              <w:rPr>
                <w:rFonts w:ascii="Verdana" w:hAnsi="Verdana" w:cs="Arial"/>
                <w:lang w:val="en-US"/>
              </w:rPr>
              <w:lastRenderedPageBreak/>
              <w:t>Will be considered shareholders</w:t>
            </w:r>
            <w:r w:rsidR="0094512F" w:rsidRPr="00295D4D">
              <w:rPr>
                <w:rFonts w:ascii="Verdana" w:hAnsi="Verdana" w:cs="Arial"/>
                <w:lang w:val="en-US"/>
              </w:rPr>
              <w:t>, for the purpose of the Priority Offer</w:t>
            </w:r>
            <w:r w:rsidR="00E65AE2">
              <w:rPr>
                <w:rFonts w:ascii="Verdana" w:hAnsi="Verdana" w:cs="Arial"/>
                <w:lang w:val="en-US"/>
              </w:rPr>
              <w:t>ing</w:t>
            </w:r>
            <w:r w:rsidR="0094512F" w:rsidRPr="00295D4D">
              <w:rPr>
                <w:rFonts w:ascii="Verdana" w:hAnsi="Verdana" w:cs="Arial"/>
                <w:lang w:val="en-US"/>
              </w:rPr>
              <w:t>, and, therefore</w:t>
            </w:r>
            <w:r w:rsidRPr="00295D4D">
              <w:rPr>
                <w:rFonts w:ascii="Verdana" w:hAnsi="Verdana" w:cs="Arial"/>
                <w:lang w:val="en-US"/>
              </w:rPr>
              <w:t xml:space="preserve"> and have the </w:t>
            </w:r>
            <w:r w:rsidR="004F5D32" w:rsidRPr="00295D4D">
              <w:rPr>
                <w:rFonts w:ascii="Verdana" w:hAnsi="Verdana" w:cs="Arial"/>
                <w:lang w:val="en-US"/>
              </w:rPr>
              <w:t>Priority Subscription Right</w:t>
            </w:r>
            <w:r w:rsidRPr="00295D4D">
              <w:rPr>
                <w:rFonts w:ascii="Verdana" w:hAnsi="Verdana" w:cs="Arial"/>
                <w:lang w:val="en-US"/>
              </w:rPr>
              <w:t xml:space="preserve"> those who holds </w:t>
            </w:r>
            <w:r w:rsidR="005F2987" w:rsidRPr="00295D4D">
              <w:rPr>
                <w:rFonts w:ascii="Verdana" w:hAnsi="Verdana" w:cs="Arial"/>
                <w:lang w:val="en-US"/>
              </w:rPr>
              <w:t>shares issued by the Company</w:t>
            </w:r>
            <w:r w:rsidRPr="00295D4D">
              <w:rPr>
                <w:rFonts w:ascii="Verdana" w:hAnsi="Verdana" w:cs="Arial"/>
                <w:lang w:val="en-US"/>
              </w:rPr>
              <w:t xml:space="preserve">: (i) (a) on the end of the First </w:t>
            </w:r>
            <w:r w:rsidR="008A1AF9">
              <w:rPr>
                <w:rFonts w:ascii="Verdana" w:hAnsi="Verdana" w:cs="Arial"/>
                <w:lang w:val="en-US"/>
              </w:rPr>
              <w:t xml:space="preserve">Cut-off </w:t>
            </w:r>
            <w:r w:rsidRPr="00295D4D">
              <w:rPr>
                <w:rFonts w:ascii="Verdana" w:hAnsi="Verdana" w:cs="Arial"/>
                <w:lang w:val="en-US"/>
              </w:rPr>
              <w:t xml:space="preserve">Date, according to custody position: (1) at the Depositary Center; and (2) at </w:t>
            </w:r>
            <w:r w:rsidRPr="00295D4D">
              <w:rPr>
                <w:rFonts w:ascii="Verdana" w:hAnsi="Verdana" w:cs="Arial"/>
                <w:bCs/>
                <w:lang w:val="en-US"/>
              </w:rPr>
              <w:t xml:space="preserve">the </w:t>
            </w:r>
            <w:r w:rsidR="008A1AF9">
              <w:rPr>
                <w:rFonts w:ascii="Verdana" w:hAnsi="Verdana" w:cs="Arial"/>
                <w:lang w:val="en-US"/>
              </w:rPr>
              <w:t>Bookkeeping Agent</w:t>
            </w:r>
            <w:r w:rsidRPr="00295D4D">
              <w:rPr>
                <w:rFonts w:ascii="Verdana" w:hAnsi="Verdana" w:cs="Arial"/>
                <w:lang w:val="en-US"/>
              </w:rPr>
              <w:t xml:space="preserve">, and (b) on the end of the Second </w:t>
            </w:r>
            <w:r w:rsidR="008A1AF9">
              <w:rPr>
                <w:rFonts w:ascii="Verdana" w:hAnsi="Verdana" w:cs="Arial"/>
                <w:lang w:val="en-US"/>
              </w:rPr>
              <w:t xml:space="preserve">Cut-off </w:t>
            </w:r>
            <w:r w:rsidRPr="00295D4D">
              <w:rPr>
                <w:rFonts w:ascii="Verdana" w:hAnsi="Verdana" w:cs="Arial"/>
                <w:lang w:val="en-US"/>
              </w:rPr>
              <w:t xml:space="preserve">Date, according to custody position: (1) at the Depositary Center; and (2) at </w:t>
            </w:r>
            <w:r w:rsidRPr="00295D4D">
              <w:rPr>
                <w:rFonts w:ascii="Verdana" w:hAnsi="Verdana" w:cs="Arial"/>
                <w:bCs/>
                <w:lang w:val="en-US"/>
              </w:rPr>
              <w:t xml:space="preserve">the </w:t>
            </w:r>
            <w:r w:rsidR="008A1AF9">
              <w:rPr>
                <w:rFonts w:ascii="Verdana" w:hAnsi="Verdana" w:cs="Arial"/>
                <w:lang w:val="en-US"/>
              </w:rPr>
              <w:t>Bookkeeping Agent</w:t>
            </w:r>
            <w:r w:rsidRPr="00295D4D">
              <w:rPr>
                <w:rFonts w:ascii="Verdana" w:hAnsi="Verdana" w:cs="Arial"/>
                <w:lang w:val="en-US"/>
              </w:rPr>
              <w:t xml:space="preserve">, subject to the Proportional Subscription Limit (as defined below) and provided that they remain holders of </w:t>
            </w:r>
            <w:r w:rsidR="00423E30" w:rsidRPr="00295D4D">
              <w:rPr>
                <w:rFonts w:ascii="Verdana" w:hAnsi="Verdana" w:cs="Arial"/>
                <w:lang w:val="en-US"/>
              </w:rPr>
              <w:t>common</w:t>
            </w:r>
            <w:r w:rsidRPr="00295D4D">
              <w:rPr>
                <w:rFonts w:ascii="Verdana" w:hAnsi="Verdana" w:cs="Arial"/>
                <w:lang w:val="en-US"/>
              </w:rPr>
              <w:t xml:space="preserve"> shares issued by the Company on the Second Cutoff Date (</w:t>
            </w:r>
            <w:r w:rsidR="00750320" w:rsidRPr="00295D4D">
              <w:rPr>
                <w:rFonts w:ascii="Verdana" w:hAnsi="Verdana" w:cs="Arial"/>
                <w:lang w:val="en-US"/>
              </w:rPr>
              <w:t>“</w:t>
            </w:r>
            <w:r w:rsidR="00473862" w:rsidRPr="00295D4D">
              <w:rPr>
                <w:rFonts w:ascii="Verdana" w:hAnsi="Verdana" w:cs="Arial"/>
                <w:b/>
                <w:bCs/>
                <w:lang w:val="en-US"/>
              </w:rPr>
              <w:t>Priority</w:t>
            </w:r>
            <w:r w:rsidRPr="00295D4D">
              <w:rPr>
                <w:rFonts w:ascii="Verdana" w:hAnsi="Verdana" w:cs="Arial"/>
                <w:b/>
                <w:bCs/>
                <w:lang w:val="en-US"/>
              </w:rPr>
              <w:t xml:space="preserve"> Offer</w:t>
            </w:r>
            <w:r w:rsidR="00473862" w:rsidRPr="00295D4D">
              <w:rPr>
                <w:rFonts w:ascii="Verdana" w:hAnsi="Verdana" w:cs="Arial"/>
                <w:b/>
                <w:bCs/>
                <w:lang w:val="en-US"/>
              </w:rPr>
              <w:t>ing</w:t>
            </w:r>
            <w:r w:rsidR="00750320" w:rsidRPr="00295D4D">
              <w:rPr>
                <w:rFonts w:ascii="Verdana" w:hAnsi="Verdana" w:cs="Arial"/>
                <w:lang w:val="en-US"/>
              </w:rPr>
              <w:t>”</w:t>
            </w:r>
            <w:r w:rsidRPr="00295D4D">
              <w:rPr>
                <w:rFonts w:ascii="Verdana" w:hAnsi="Verdana" w:cs="Arial"/>
                <w:lang w:val="en-US"/>
              </w:rPr>
              <w:t xml:space="preserve">). </w:t>
            </w:r>
            <w:r w:rsidR="00E46578" w:rsidRPr="00E46578">
              <w:rPr>
                <w:rFonts w:ascii="Verdana" w:hAnsi="Verdana" w:cs="Arial"/>
                <w:lang w:val="en-US"/>
              </w:rPr>
              <w:t xml:space="preserve">The Priority Rights are granted to the Shareholders, and their respective Proportional Subscription Limits will be calculated based on each Shareholder’s ownership interest in the Company’s total share capital as of the end of the </w:t>
            </w:r>
            <w:r w:rsidR="00E46578" w:rsidRPr="00E46578">
              <w:rPr>
                <w:rFonts w:ascii="Verdana" w:hAnsi="Verdana" w:cs="Arial"/>
                <w:lang w:val="en-US"/>
              </w:rPr>
              <w:lastRenderedPageBreak/>
              <w:t xml:space="preserve">Second </w:t>
            </w:r>
            <w:r w:rsidR="00442D75">
              <w:rPr>
                <w:rFonts w:ascii="Verdana" w:hAnsi="Verdana" w:cs="Arial"/>
                <w:lang w:val="en-US"/>
              </w:rPr>
              <w:t xml:space="preserve">Cut-off </w:t>
            </w:r>
            <w:r w:rsidR="00E46578" w:rsidRPr="00E46578">
              <w:rPr>
                <w:rFonts w:ascii="Verdana" w:hAnsi="Verdana" w:cs="Arial"/>
                <w:lang w:val="en-US"/>
              </w:rPr>
              <w:t xml:space="preserve">Date, disregarding any shares of the Company that may be held in treasury. Each preferred share and each share of the Company held by a Shareholder on the Second </w:t>
            </w:r>
            <w:r w:rsidR="00442D75">
              <w:rPr>
                <w:rFonts w:ascii="Verdana" w:hAnsi="Verdana" w:cs="Arial"/>
                <w:lang w:val="en-US"/>
              </w:rPr>
              <w:t>Cut-off</w:t>
            </w:r>
            <w:r w:rsidR="00442D75" w:rsidRPr="00E46578">
              <w:rPr>
                <w:rFonts w:ascii="Verdana" w:hAnsi="Verdana" w:cs="Arial"/>
                <w:lang w:val="en-US"/>
              </w:rPr>
              <w:t xml:space="preserve"> </w:t>
            </w:r>
            <w:r w:rsidR="00E46578" w:rsidRPr="00E46578">
              <w:rPr>
                <w:rFonts w:ascii="Verdana" w:hAnsi="Verdana" w:cs="Arial"/>
                <w:lang w:val="en-US"/>
              </w:rPr>
              <w:t xml:space="preserve">Date will </w:t>
            </w:r>
            <w:r w:rsidR="00CC3891">
              <w:rPr>
                <w:rFonts w:ascii="Verdana" w:hAnsi="Verdana" w:cs="Arial"/>
                <w:lang w:val="en-US"/>
              </w:rPr>
              <w:t>grant the Shareholder the right</w:t>
            </w:r>
            <w:r w:rsidR="00E46578" w:rsidRPr="00E46578">
              <w:rPr>
                <w:rFonts w:ascii="Verdana" w:hAnsi="Verdana" w:cs="Arial"/>
                <w:lang w:val="en-US"/>
              </w:rPr>
              <w:t xml:space="preserve"> to subscribe for up to</w:t>
            </w:r>
            <w:r w:rsidR="00CC3891">
              <w:rPr>
                <w:rFonts w:ascii="Verdana" w:hAnsi="Verdana" w:cs="Arial"/>
                <w:lang w:val="en-US"/>
              </w:rPr>
              <w:t xml:space="preserve"> (a)</w:t>
            </w:r>
            <w:r w:rsidR="00EB4F27">
              <w:rPr>
                <w:rFonts w:ascii="Verdana" w:hAnsi="Verdana" w:cs="Arial"/>
                <w:lang w:val="en-US"/>
              </w:rPr>
              <w:t> </w:t>
            </w:r>
            <w:r w:rsidR="00EB4F27" w:rsidRPr="008A1F8B">
              <w:rPr>
                <w:rFonts w:ascii="Verdana" w:hAnsi="Verdana" w:cs="Arial"/>
                <w:lang w:val="en-US"/>
              </w:rPr>
              <w:t xml:space="preserve">4.914838 </w:t>
            </w:r>
            <w:r w:rsidR="00E46578" w:rsidRPr="00E46578">
              <w:rPr>
                <w:rFonts w:ascii="Verdana" w:hAnsi="Verdana" w:cs="Arial"/>
                <w:lang w:val="en-US"/>
              </w:rPr>
              <w:t>Shares</w:t>
            </w:r>
            <w:r w:rsidR="00CC3891">
              <w:rPr>
                <w:rFonts w:ascii="Verdana" w:hAnsi="Verdana" w:cs="Arial"/>
                <w:lang w:val="en-US"/>
              </w:rPr>
              <w:t>, if there is no partial distribution of the Shares; and (b)</w:t>
            </w:r>
            <w:r w:rsidR="00EB4F27">
              <w:rPr>
                <w:rFonts w:ascii="Verdana" w:hAnsi="Verdana" w:cs="Arial"/>
                <w:lang w:val="en-US"/>
              </w:rPr>
              <w:t> </w:t>
            </w:r>
            <w:r w:rsidR="00EB4F27" w:rsidRPr="008A1F8B">
              <w:rPr>
                <w:rFonts w:ascii="Verdana" w:hAnsi="Verdana" w:cs="Arial"/>
                <w:lang w:val="en-US"/>
              </w:rPr>
              <w:t>3.874838</w:t>
            </w:r>
            <w:r w:rsidR="00EB4F27" w:rsidRPr="008A1F8B">
              <w:rPr>
                <w:rFonts w:ascii="Arial" w:hAnsi="Arial" w:cs="Arial"/>
                <w:bCs/>
                <w:lang w:val="en-US"/>
              </w:rPr>
              <w:t xml:space="preserve"> </w:t>
            </w:r>
            <w:r w:rsidR="00CC3891">
              <w:rPr>
                <w:rFonts w:ascii="Verdana" w:hAnsi="Verdana" w:cs="Arial"/>
                <w:lang w:val="en-US"/>
              </w:rPr>
              <w:t xml:space="preserve"> Shares, if there is a partial distribution of the Shares, subject to the Minimum Number of Shares (</w:t>
            </w:r>
            <w:r w:rsidR="00E46578" w:rsidRPr="00E46578">
              <w:rPr>
                <w:rFonts w:ascii="Verdana" w:hAnsi="Verdana" w:cs="Arial"/>
                <w:lang w:val="en-US"/>
              </w:rPr>
              <w:t>“</w:t>
            </w:r>
            <w:r w:rsidR="00E46578" w:rsidRPr="00E46578">
              <w:rPr>
                <w:rFonts w:ascii="Verdana" w:hAnsi="Verdana" w:cs="Arial"/>
                <w:b/>
                <w:bCs/>
                <w:lang w:val="en-US"/>
              </w:rPr>
              <w:t>Proportional Subscription Limit</w:t>
            </w:r>
            <w:r w:rsidR="00E46578" w:rsidRPr="00E46578">
              <w:rPr>
                <w:rFonts w:ascii="Verdana" w:hAnsi="Verdana" w:cs="Arial"/>
                <w:lang w:val="en-US"/>
              </w:rPr>
              <w:t>”)</w:t>
            </w:r>
            <w:r w:rsidRPr="00295D4D">
              <w:rPr>
                <w:rFonts w:ascii="Verdana" w:hAnsi="Verdana" w:cs="Arial"/>
                <w:lang w:val="en-US"/>
              </w:rPr>
              <w:t>.</w:t>
            </w:r>
            <w:r w:rsidR="00CC3891">
              <w:rPr>
                <w:rFonts w:ascii="Verdana" w:hAnsi="Verdana" w:cs="Arial"/>
                <w:lang w:val="en-US"/>
              </w:rPr>
              <w:t xml:space="preserve"> </w:t>
            </w:r>
          </w:p>
        </w:tc>
      </w:tr>
      <w:tr w:rsidR="00C07A1B" w:rsidRPr="00016DC5" w14:paraId="1E5C0004" w14:textId="77777777" w:rsidTr="00BE12AD">
        <w:trPr>
          <w:trHeight w:val="20"/>
          <w:jc w:val="center"/>
        </w:trPr>
        <w:tc>
          <w:tcPr>
            <w:tcW w:w="5382" w:type="dxa"/>
          </w:tcPr>
          <w:p w14:paraId="2CFE1F63" w14:textId="77777777" w:rsidR="00C07A1B" w:rsidRPr="00887C9E" w:rsidRDefault="00C07A1B" w:rsidP="006A49F4">
            <w:pPr>
              <w:pStyle w:val="HOMEBRBodyText"/>
              <w:keepLines w:val="0"/>
              <w:spacing w:after="0" w:line="320" w:lineRule="exact"/>
              <w:jc w:val="both"/>
              <w:rPr>
                <w:rFonts w:ascii="Verdana" w:hAnsi="Verdana"/>
                <w:sz w:val="18"/>
                <w:szCs w:val="18"/>
                <w:lang w:val="en-US"/>
              </w:rPr>
            </w:pPr>
          </w:p>
        </w:tc>
        <w:tc>
          <w:tcPr>
            <w:tcW w:w="5168" w:type="dxa"/>
          </w:tcPr>
          <w:p w14:paraId="2C06DD14" w14:textId="77777777" w:rsidR="00C07A1B" w:rsidRPr="00295D4D" w:rsidRDefault="00C07A1B" w:rsidP="006A49F4">
            <w:pPr>
              <w:pStyle w:val="Corpodetexto"/>
              <w:tabs>
                <w:tab w:val="left" w:pos="0"/>
                <w:tab w:val="left" w:pos="817"/>
              </w:tabs>
              <w:spacing w:line="320" w:lineRule="exact"/>
              <w:jc w:val="both"/>
              <w:rPr>
                <w:rFonts w:ascii="Verdana" w:hAnsi="Verdana" w:cs="Arial"/>
                <w:lang w:val="en-US"/>
              </w:rPr>
            </w:pPr>
          </w:p>
        </w:tc>
      </w:tr>
      <w:tr w:rsidR="00C07A1B" w:rsidRPr="00016DC5" w14:paraId="143C8B7B" w14:textId="77777777" w:rsidTr="00BE12AD">
        <w:trPr>
          <w:trHeight w:val="20"/>
          <w:jc w:val="center"/>
        </w:trPr>
        <w:tc>
          <w:tcPr>
            <w:tcW w:w="5382" w:type="dxa"/>
          </w:tcPr>
          <w:p w14:paraId="6AF28263" w14:textId="53B25704" w:rsidR="00C07A1B" w:rsidRPr="006A49F4" w:rsidRDefault="00C07A1B" w:rsidP="00BE12AD">
            <w:pPr>
              <w:pStyle w:val="HOMEBRBodyText"/>
              <w:spacing w:line="320" w:lineRule="exact"/>
              <w:jc w:val="both"/>
              <w:rPr>
                <w:rFonts w:ascii="Verdana" w:hAnsi="Verdana"/>
                <w:sz w:val="18"/>
                <w:szCs w:val="18"/>
              </w:rPr>
            </w:pPr>
            <w:r w:rsidRPr="00FC01B3">
              <w:rPr>
                <w:rFonts w:ascii="Verdana" w:hAnsi="Verdana"/>
                <w:sz w:val="18"/>
                <w:szCs w:val="18"/>
              </w:rPr>
              <w:t>Observado que o preço mínimo a ser pago por cada Acionista que formular um Pedido de Subscrição Prioritária deve ser o equivalente ao Preço da Cesta de Ações, no âmbito da Oferta Prioritária, o valor mínimo de investimento dos Acionistas é correspondente a 1 Cesta de Ações, estando o valor máximo sujeito ao respectivo Limite de Subscrição Proporcional, observado que para todos os fins e efeitos quantidade</w:t>
            </w:r>
            <w:r w:rsidR="00A95991">
              <w:rPr>
                <w:rFonts w:ascii="Verdana" w:hAnsi="Verdana"/>
                <w:sz w:val="18"/>
                <w:szCs w:val="18"/>
              </w:rPr>
              <w:t>s</w:t>
            </w:r>
            <w:r w:rsidRPr="00FC01B3">
              <w:rPr>
                <w:rFonts w:ascii="Verdana" w:hAnsi="Verdana"/>
                <w:sz w:val="18"/>
                <w:szCs w:val="18"/>
              </w:rPr>
              <w:t xml:space="preserve"> fracionadas de Cestas de Ações serão automaticamente arredondadas para baixo </w:t>
            </w:r>
            <w:r>
              <w:rPr>
                <w:rFonts w:ascii="Verdana" w:hAnsi="Verdana"/>
                <w:sz w:val="18"/>
                <w:szCs w:val="18"/>
              </w:rPr>
              <w:t>no Procedimento de Alocação</w:t>
            </w:r>
            <w:r w:rsidRPr="00FC01B3">
              <w:rPr>
                <w:rFonts w:ascii="Verdana" w:hAnsi="Verdana"/>
                <w:sz w:val="18"/>
                <w:szCs w:val="18"/>
              </w:rPr>
              <w:t>. Será assegurado o atendimento integral e prioritário da totalidade dos Pedidos de Subscrição Prioritária até o Limite de Subscrição Proporcional de cada Acionista e, portanto, não será realizado rateio das Ações remanescentes entre os Acionistas no âmbito da Oferta Prioritária.</w:t>
            </w:r>
            <w:r w:rsidR="00A95991">
              <w:rPr>
                <w:rFonts w:ascii="Verdana" w:hAnsi="Verdana"/>
                <w:sz w:val="18"/>
                <w:szCs w:val="18"/>
              </w:rPr>
              <w:t xml:space="preserve"> </w:t>
            </w:r>
            <w:r w:rsidR="00A95991" w:rsidRPr="00A95991">
              <w:rPr>
                <w:rFonts w:ascii="Verdana" w:hAnsi="Verdana"/>
                <w:sz w:val="18"/>
                <w:szCs w:val="18"/>
              </w:rPr>
              <w:t>Os credores da Companhia que se tornaram Acionistas por meio da</w:t>
            </w:r>
            <w:r w:rsidR="00A95991">
              <w:rPr>
                <w:rFonts w:ascii="Verdana" w:hAnsi="Verdana"/>
                <w:sz w:val="18"/>
                <w:szCs w:val="18"/>
              </w:rPr>
              <w:t xml:space="preserve"> </w:t>
            </w:r>
            <w:r w:rsidR="00A95991" w:rsidRPr="00A95991">
              <w:rPr>
                <w:rFonts w:ascii="Verdana" w:hAnsi="Verdana"/>
                <w:sz w:val="18"/>
                <w:szCs w:val="18"/>
              </w:rPr>
              <w:t>Oferta de Equitização se obrigaram pelo Plano a renunciar aos respectivos Diretos de Prioridade</w:t>
            </w:r>
            <w:r w:rsidR="00A95991">
              <w:rPr>
                <w:rFonts w:ascii="Verdana" w:hAnsi="Verdana"/>
                <w:sz w:val="18"/>
                <w:szCs w:val="18"/>
              </w:rPr>
              <w:t xml:space="preserve"> </w:t>
            </w:r>
            <w:r w:rsidR="00A95991" w:rsidRPr="00A95991">
              <w:rPr>
                <w:rFonts w:ascii="Verdana" w:hAnsi="Verdana"/>
                <w:sz w:val="18"/>
                <w:szCs w:val="18"/>
              </w:rPr>
              <w:t>nesta Oferta, de modo a permitir a aplicação da Ordem de Alocação do Plano.</w:t>
            </w:r>
            <w:r w:rsidR="00EB4F27">
              <w:rPr>
                <w:rFonts w:ascii="Verdana" w:hAnsi="Verdana"/>
                <w:sz w:val="18"/>
                <w:szCs w:val="18"/>
              </w:rPr>
              <w:t xml:space="preserve"> </w:t>
            </w:r>
            <w:r w:rsidR="00EB4F27" w:rsidRPr="00EB4F27">
              <w:rPr>
                <w:rFonts w:ascii="Verdana" w:hAnsi="Verdana"/>
                <w:sz w:val="18"/>
                <w:szCs w:val="18"/>
              </w:rPr>
              <w:t>Os credores da Companhia que se tornaram Acionistas por meio da Oferta de Equitização se obrigaram, pelo Plano, a renunciar aos respectivos Diretos de Prioridade nesta Oferta, de modo a permitir a aplicação da Ordem de Alocação do Plano.</w:t>
            </w:r>
          </w:p>
        </w:tc>
        <w:tc>
          <w:tcPr>
            <w:tcW w:w="5168" w:type="dxa"/>
          </w:tcPr>
          <w:p w14:paraId="74810227" w14:textId="2B73BCB6" w:rsidR="00C07A1B" w:rsidRPr="00C07A1B" w:rsidRDefault="00C07A1B" w:rsidP="00AB49B6">
            <w:pPr>
              <w:pStyle w:val="Corpodetexto"/>
              <w:tabs>
                <w:tab w:val="left" w:pos="0"/>
                <w:tab w:val="left" w:pos="817"/>
              </w:tabs>
              <w:spacing w:line="320" w:lineRule="exact"/>
              <w:jc w:val="both"/>
              <w:rPr>
                <w:rFonts w:ascii="Verdana" w:hAnsi="Verdana" w:cs="Arial"/>
                <w:lang w:val="en-US"/>
              </w:rPr>
            </w:pPr>
            <w:r w:rsidRPr="00FC01B3">
              <w:rPr>
                <w:rFonts w:ascii="Verdana" w:hAnsi="Verdana" w:cs="Arial"/>
                <w:lang w:val="en-US"/>
              </w:rPr>
              <w:t xml:space="preserve">Considering that the minimum price to be paid by each Shareholder submitting a Priority Subscription Order must correspond to the Price </w:t>
            </w:r>
            <w:r w:rsidR="00230CAA">
              <w:rPr>
                <w:rFonts w:ascii="Verdana" w:hAnsi="Verdana" w:cs="Arial"/>
                <w:lang w:val="en-US"/>
              </w:rPr>
              <w:t>per</w:t>
            </w:r>
            <w:r w:rsidRPr="00FC01B3">
              <w:rPr>
                <w:rFonts w:ascii="Verdana" w:hAnsi="Verdana" w:cs="Arial"/>
                <w:lang w:val="en-US"/>
              </w:rPr>
              <w:t xml:space="preserve"> </w:t>
            </w:r>
            <w:r w:rsidR="00230CAA" w:rsidRPr="003414D5">
              <w:rPr>
                <w:rFonts w:ascii="Verdana" w:hAnsi="Verdana" w:cs="Arial"/>
                <w:bCs/>
                <w:lang w:val="en-US"/>
              </w:rPr>
              <w:t>Basket</w:t>
            </w:r>
            <w:r w:rsidR="00230CAA">
              <w:rPr>
                <w:rFonts w:ascii="Verdana" w:hAnsi="Verdana" w:cs="Arial"/>
                <w:bCs/>
                <w:lang w:val="en-US"/>
              </w:rPr>
              <w:t xml:space="preserve"> of Shares</w:t>
            </w:r>
            <w:r w:rsidRPr="00FC01B3">
              <w:rPr>
                <w:rFonts w:ascii="Verdana" w:hAnsi="Verdana" w:cs="Arial"/>
                <w:lang w:val="en-US"/>
              </w:rPr>
              <w:t xml:space="preserve">, under the Priority Offering, the minimum investment amount for Shareholders is equal to 1 </w:t>
            </w:r>
            <w:r w:rsidR="00230CAA" w:rsidRPr="003414D5">
              <w:rPr>
                <w:rFonts w:ascii="Verdana" w:hAnsi="Verdana" w:cs="Arial"/>
                <w:bCs/>
                <w:lang w:val="en-US"/>
              </w:rPr>
              <w:t>Basket</w:t>
            </w:r>
            <w:r w:rsidR="00230CAA">
              <w:rPr>
                <w:rFonts w:ascii="Verdana" w:hAnsi="Verdana" w:cs="Arial"/>
                <w:bCs/>
                <w:lang w:val="en-US"/>
              </w:rPr>
              <w:t xml:space="preserve"> of Shares</w:t>
            </w:r>
            <w:r w:rsidRPr="00FC01B3">
              <w:rPr>
                <w:rFonts w:ascii="Verdana" w:hAnsi="Verdana" w:cs="Arial"/>
                <w:lang w:val="en-US"/>
              </w:rPr>
              <w:t xml:space="preserve">, with the maximum amount being subject to the applicable Proportional Subscription Limit. For all legal purposes, any fractional quantities of </w:t>
            </w:r>
            <w:r w:rsidR="00230CAA" w:rsidRPr="003414D5">
              <w:rPr>
                <w:rFonts w:ascii="Verdana" w:hAnsi="Verdana" w:cs="Arial"/>
                <w:bCs/>
                <w:lang w:val="en-US"/>
              </w:rPr>
              <w:t>Baskets</w:t>
            </w:r>
            <w:r w:rsidR="00230CAA">
              <w:rPr>
                <w:rFonts w:ascii="Verdana" w:hAnsi="Verdana" w:cs="Arial"/>
                <w:bCs/>
                <w:lang w:val="en-US"/>
              </w:rPr>
              <w:t xml:space="preserve"> of Shares</w:t>
            </w:r>
            <w:r w:rsidRPr="00FC01B3">
              <w:rPr>
                <w:rFonts w:ascii="Verdana" w:hAnsi="Verdana" w:cs="Arial"/>
                <w:lang w:val="en-US"/>
              </w:rPr>
              <w:t xml:space="preserve"> shall be automatically rounded down on the </w:t>
            </w:r>
            <w:r w:rsidRPr="00324CCA">
              <w:rPr>
                <w:rFonts w:ascii="Verdana" w:hAnsi="Verdana" w:cs="Arial"/>
                <w:bCs/>
                <w:lang w:val="en-US"/>
              </w:rPr>
              <w:t>Allocation Procedure</w:t>
            </w:r>
            <w:r w:rsidRPr="00FC01B3">
              <w:rPr>
                <w:rFonts w:ascii="Verdana" w:hAnsi="Verdana" w:cs="Arial"/>
                <w:lang w:val="en-US"/>
              </w:rPr>
              <w:t>. The full and priority allocation of all Priority Subscription Orders up to each Shareholder’s Proportional Subscription Limit shall be ensured, and, consequently, no pro rata allocation of the remaining Shares shall be carried out among the Shareholders within the scope of the Priority Offering.</w:t>
            </w:r>
            <w:r w:rsidR="00AB49B6">
              <w:rPr>
                <w:rFonts w:ascii="Verdana" w:hAnsi="Verdana" w:cs="Arial"/>
                <w:lang w:val="en-US"/>
              </w:rPr>
              <w:t xml:space="preserve"> </w:t>
            </w:r>
            <w:r w:rsidR="00AB49B6" w:rsidRPr="00AB49B6">
              <w:rPr>
                <w:rFonts w:ascii="Verdana" w:hAnsi="Verdana" w:cs="Arial"/>
                <w:lang w:val="en-US"/>
              </w:rPr>
              <w:t>The</w:t>
            </w:r>
            <w:r w:rsidR="00AB49B6">
              <w:rPr>
                <w:rFonts w:ascii="Verdana" w:hAnsi="Verdana" w:cs="Arial"/>
                <w:lang w:val="en-US"/>
              </w:rPr>
              <w:t xml:space="preserve"> </w:t>
            </w:r>
            <w:r w:rsidR="00AB49B6" w:rsidRPr="00AB49B6">
              <w:rPr>
                <w:rFonts w:ascii="Verdana" w:hAnsi="Verdana" w:cs="Arial"/>
                <w:lang w:val="en-US"/>
              </w:rPr>
              <w:t>Company’s creditors who became Shareholders through the Equitization Offering were required under</w:t>
            </w:r>
            <w:r w:rsidR="00AB49B6">
              <w:rPr>
                <w:rFonts w:ascii="Verdana" w:hAnsi="Verdana" w:cs="Arial"/>
                <w:lang w:val="en-US"/>
              </w:rPr>
              <w:t xml:space="preserve"> </w:t>
            </w:r>
            <w:r w:rsidR="00AB49B6" w:rsidRPr="00AB49B6">
              <w:rPr>
                <w:rFonts w:ascii="Verdana" w:hAnsi="Verdana" w:cs="Arial"/>
                <w:lang w:val="en-US"/>
              </w:rPr>
              <w:t>the Plan to waive their respective Priority Rights in this Offering, in order to permit the application of the</w:t>
            </w:r>
            <w:r w:rsidR="00AB49B6">
              <w:rPr>
                <w:rFonts w:ascii="Verdana" w:hAnsi="Verdana" w:cs="Arial"/>
                <w:lang w:val="en-US"/>
              </w:rPr>
              <w:t xml:space="preserve"> </w:t>
            </w:r>
            <w:r w:rsidR="00AB49B6" w:rsidRPr="00AB49B6">
              <w:rPr>
                <w:rFonts w:ascii="Verdana" w:hAnsi="Verdana" w:cs="Arial"/>
                <w:lang w:val="en-US"/>
              </w:rPr>
              <w:t>Plan Allocation Order.</w:t>
            </w:r>
            <w:r w:rsidR="00EB4F27">
              <w:rPr>
                <w:rFonts w:ascii="Verdana" w:hAnsi="Verdana" w:cs="Arial"/>
                <w:lang w:val="en-US"/>
              </w:rPr>
              <w:t xml:space="preserve"> </w:t>
            </w:r>
            <w:r w:rsidR="00EB4F27" w:rsidRPr="00EB4F27">
              <w:rPr>
                <w:rFonts w:ascii="Verdana" w:hAnsi="Verdana" w:cs="Arial"/>
                <w:lang w:val="en-US"/>
              </w:rPr>
              <w:t>The Company's creditors who became Shareholders through the Equipping Offer were obliged, by the Plan, to waive their respective Priority Rights in this Offer, in order to allow the application of the Plan's Allocation Order.</w:t>
            </w:r>
          </w:p>
        </w:tc>
      </w:tr>
      <w:tr w:rsidR="00B5452E" w:rsidRPr="00016DC5" w14:paraId="0581A84C" w14:textId="77777777" w:rsidTr="00BE12AD">
        <w:trPr>
          <w:trHeight w:val="20"/>
          <w:jc w:val="center"/>
        </w:trPr>
        <w:tc>
          <w:tcPr>
            <w:tcW w:w="5382" w:type="dxa"/>
          </w:tcPr>
          <w:p w14:paraId="3976409D" w14:textId="77777777" w:rsidR="00B5452E" w:rsidRPr="00C07A1B" w:rsidRDefault="00B5452E" w:rsidP="00750320">
            <w:pPr>
              <w:pStyle w:val="Corpodetexto"/>
              <w:spacing w:line="320" w:lineRule="exact"/>
              <w:rPr>
                <w:rFonts w:ascii="Verdana" w:hAnsi="Verdana" w:cs="Arial"/>
                <w:bCs/>
                <w:lang w:val="en-US"/>
              </w:rPr>
            </w:pPr>
          </w:p>
        </w:tc>
        <w:tc>
          <w:tcPr>
            <w:tcW w:w="5168" w:type="dxa"/>
          </w:tcPr>
          <w:p w14:paraId="08998B4C" w14:textId="77777777" w:rsidR="00B5452E" w:rsidRPr="00C07A1B" w:rsidRDefault="00B5452E" w:rsidP="00750320">
            <w:pPr>
              <w:pStyle w:val="Corpodetexto"/>
              <w:tabs>
                <w:tab w:val="left" w:pos="0"/>
                <w:tab w:val="left" w:pos="817"/>
              </w:tabs>
              <w:spacing w:line="320" w:lineRule="exact"/>
              <w:rPr>
                <w:rFonts w:ascii="Verdana" w:hAnsi="Verdana" w:cs="Arial"/>
                <w:lang w:val="en-US"/>
              </w:rPr>
            </w:pPr>
          </w:p>
        </w:tc>
      </w:tr>
      <w:tr w:rsidR="00D81D3D" w:rsidRPr="00016DC5" w14:paraId="07EED8D3" w14:textId="77777777" w:rsidTr="00BE12AD">
        <w:trPr>
          <w:trHeight w:val="20"/>
          <w:jc w:val="center"/>
        </w:trPr>
        <w:tc>
          <w:tcPr>
            <w:tcW w:w="5382" w:type="dxa"/>
          </w:tcPr>
          <w:p w14:paraId="5EF6F770" w14:textId="2ADAA4D1" w:rsidR="00D81D3D" w:rsidRPr="007766AB" w:rsidDel="00520448" w:rsidRDefault="00EB4F27" w:rsidP="00D81D3D">
            <w:pPr>
              <w:pStyle w:val="Corpodetexto"/>
              <w:tabs>
                <w:tab w:val="left" w:pos="0"/>
                <w:tab w:val="left" w:pos="817"/>
              </w:tabs>
              <w:spacing w:line="320" w:lineRule="exact"/>
              <w:jc w:val="both"/>
              <w:rPr>
                <w:rFonts w:ascii="Verdana" w:hAnsi="Verdana" w:cs="Arial"/>
              </w:rPr>
            </w:pPr>
            <w:bookmarkStart w:id="6" w:name="_Hlk216997747"/>
            <w:r w:rsidRPr="007766AB">
              <w:rPr>
                <w:rFonts w:ascii="Verdana" w:hAnsi="Verdana" w:cs="Arial"/>
              </w:rPr>
              <w:t>A</w:t>
            </w:r>
            <w:r w:rsidRPr="007766AB">
              <w:rPr>
                <w:rFonts w:ascii="Verdana" w:hAnsi="Verdana" w:cs="Arial"/>
                <w:spacing w:val="-8"/>
              </w:rPr>
              <w:t xml:space="preserve"> </w:t>
            </w:r>
            <w:r w:rsidRPr="007766AB">
              <w:rPr>
                <w:rFonts w:ascii="Verdana" w:hAnsi="Verdana" w:cs="Arial"/>
              </w:rPr>
              <w:t>Oferta</w:t>
            </w:r>
            <w:r w:rsidRPr="007766AB">
              <w:rPr>
                <w:rFonts w:ascii="Verdana" w:hAnsi="Verdana" w:cs="Arial"/>
                <w:spacing w:val="-6"/>
              </w:rPr>
              <w:t xml:space="preserve"> </w:t>
            </w:r>
            <w:r w:rsidRPr="007766AB">
              <w:rPr>
                <w:rFonts w:ascii="Verdana" w:hAnsi="Verdana" w:cs="Arial"/>
              </w:rPr>
              <w:t>não</w:t>
            </w:r>
            <w:r w:rsidRPr="007766AB">
              <w:rPr>
                <w:rFonts w:ascii="Verdana" w:hAnsi="Verdana" w:cs="Arial"/>
                <w:spacing w:val="-8"/>
              </w:rPr>
              <w:t xml:space="preserve"> </w:t>
            </w:r>
            <w:r w:rsidRPr="007766AB">
              <w:rPr>
                <w:rFonts w:ascii="Verdana" w:hAnsi="Verdana" w:cs="Arial"/>
              </w:rPr>
              <w:t>será</w:t>
            </w:r>
            <w:r w:rsidRPr="007766AB">
              <w:rPr>
                <w:rFonts w:ascii="Verdana" w:hAnsi="Verdana" w:cs="Arial"/>
                <w:spacing w:val="-4"/>
              </w:rPr>
              <w:t xml:space="preserve"> </w:t>
            </w:r>
            <w:r w:rsidRPr="007766AB">
              <w:rPr>
                <w:rFonts w:ascii="Verdana" w:hAnsi="Verdana" w:cs="Arial"/>
              </w:rPr>
              <w:t>destinada</w:t>
            </w:r>
            <w:r w:rsidRPr="007766AB">
              <w:rPr>
                <w:rFonts w:ascii="Verdana" w:hAnsi="Verdana" w:cs="Arial"/>
                <w:spacing w:val="-8"/>
              </w:rPr>
              <w:t xml:space="preserve"> </w:t>
            </w:r>
            <w:r w:rsidRPr="007766AB">
              <w:rPr>
                <w:rFonts w:ascii="Verdana" w:hAnsi="Verdana" w:cs="Arial"/>
              </w:rPr>
              <w:t>aos</w:t>
            </w:r>
            <w:r w:rsidRPr="007766AB">
              <w:rPr>
                <w:rFonts w:ascii="Verdana" w:hAnsi="Verdana" w:cs="Arial"/>
                <w:spacing w:val="-4"/>
              </w:rPr>
              <w:t xml:space="preserve"> </w:t>
            </w:r>
            <w:r w:rsidRPr="007766AB">
              <w:rPr>
                <w:rFonts w:ascii="Verdana" w:hAnsi="Verdana" w:cs="Arial"/>
              </w:rPr>
              <w:t>detentores</w:t>
            </w:r>
            <w:r w:rsidRPr="007766AB">
              <w:rPr>
                <w:rFonts w:ascii="Verdana" w:hAnsi="Verdana" w:cs="Arial"/>
                <w:spacing w:val="-5"/>
              </w:rPr>
              <w:t xml:space="preserve"> </w:t>
            </w:r>
            <w:r w:rsidRPr="007766AB">
              <w:rPr>
                <w:rFonts w:ascii="Verdana" w:hAnsi="Verdana" w:cs="Arial"/>
              </w:rPr>
              <w:t>dos</w:t>
            </w:r>
            <w:r w:rsidRPr="007766AB">
              <w:rPr>
                <w:rFonts w:ascii="Verdana" w:hAnsi="Verdana" w:cs="Arial"/>
                <w:spacing w:val="-7"/>
              </w:rPr>
              <w:t xml:space="preserve"> </w:t>
            </w:r>
            <w:r w:rsidRPr="007766AB">
              <w:rPr>
                <w:rFonts w:ascii="Verdana" w:hAnsi="Verdana" w:cs="Arial"/>
              </w:rPr>
              <w:t>certificados</w:t>
            </w:r>
            <w:r w:rsidRPr="007766AB">
              <w:rPr>
                <w:rFonts w:ascii="Verdana" w:hAnsi="Verdana" w:cs="Arial"/>
                <w:spacing w:val="-7"/>
              </w:rPr>
              <w:t xml:space="preserve"> </w:t>
            </w:r>
            <w:r w:rsidRPr="007766AB">
              <w:rPr>
                <w:rFonts w:ascii="Verdana" w:hAnsi="Verdana" w:cs="Arial"/>
              </w:rPr>
              <w:t>de</w:t>
            </w:r>
            <w:r w:rsidRPr="007766AB">
              <w:rPr>
                <w:rFonts w:ascii="Verdana" w:hAnsi="Verdana" w:cs="Arial"/>
                <w:spacing w:val="-6"/>
              </w:rPr>
              <w:t xml:space="preserve"> </w:t>
            </w:r>
            <w:r w:rsidRPr="007766AB">
              <w:rPr>
                <w:rFonts w:ascii="Verdana" w:hAnsi="Verdana" w:cs="Arial"/>
              </w:rPr>
              <w:t>depósito</w:t>
            </w:r>
            <w:r w:rsidRPr="007766AB">
              <w:rPr>
                <w:rFonts w:ascii="Verdana" w:hAnsi="Verdana" w:cs="Arial"/>
                <w:spacing w:val="-8"/>
              </w:rPr>
              <w:t xml:space="preserve"> </w:t>
            </w:r>
            <w:r w:rsidRPr="007766AB">
              <w:rPr>
                <w:rFonts w:ascii="Verdana" w:hAnsi="Verdana" w:cs="Arial"/>
              </w:rPr>
              <w:t>de</w:t>
            </w:r>
            <w:r w:rsidRPr="007766AB">
              <w:rPr>
                <w:rFonts w:ascii="Verdana" w:hAnsi="Verdana" w:cs="Arial"/>
                <w:spacing w:val="-8"/>
              </w:rPr>
              <w:t xml:space="preserve"> </w:t>
            </w:r>
            <w:r w:rsidRPr="007766AB">
              <w:rPr>
                <w:rFonts w:ascii="Verdana" w:hAnsi="Verdana" w:cs="Arial"/>
              </w:rPr>
              <w:t>valores</w:t>
            </w:r>
            <w:r w:rsidRPr="007766AB">
              <w:rPr>
                <w:rFonts w:ascii="Verdana" w:hAnsi="Verdana" w:cs="Arial"/>
                <w:spacing w:val="-6"/>
              </w:rPr>
              <w:t xml:space="preserve"> </w:t>
            </w:r>
            <w:r w:rsidRPr="007766AB">
              <w:rPr>
                <w:rFonts w:ascii="Verdana" w:hAnsi="Verdana" w:cs="Arial"/>
              </w:rPr>
              <w:t>mobiliários (</w:t>
            </w:r>
            <w:r w:rsidRPr="007766AB">
              <w:rPr>
                <w:rFonts w:ascii="Verdana" w:hAnsi="Verdana" w:cs="Arial"/>
                <w:i/>
              </w:rPr>
              <w:t>american depositary receipts</w:t>
            </w:r>
            <w:r w:rsidRPr="007766AB">
              <w:rPr>
                <w:rFonts w:ascii="Verdana" w:hAnsi="Verdana" w:cs="Arial"/>
              </w:rPr>
              <w:t>)</w:t>
            </w:r>
            <w:r w:rsidRPr="007766AB">
              <w:rPr>
                <w:rFonts w:ascii="Verdana" w:hAnsi="Verdana" w:cs="Arial"/>
                <w:spacing w:val="-7"/>
              </w:rPr>
              <w:t xml:space="preserve"> </w:t>
            </w:r>
            <w:r w:rsidRPr="007766AB">
              <w:rPr>
                <w:rFonts w:ascii="Verdana" w:hAnsi="Verdana" w:cs="Arial"/>
              </w:rPr>
              <w:t>da</w:t>
            </w:r>
            <w:r w:rsidRPr="007766AB">
              <w:rPr>
                <w:rFonts w:ascii="Verdana" w:hAnsi="Verdana" w:cs="Arial"/>
                <w:spacing w:val="-6"/>
              </w:rPr>
              <w:t xml:space="preserve"> </w:t>
            </w:r>
            <w:r w:rsidRPr="007766AB">
              <w:rPr>
                <w:rFonts w:ascii="Verdana" w:hAnsi="Verdana" w:cs="Arial"/>
              </w:rPr>
              <w:t>Companhia</w:t>
            </w:r>
            <w:r w:rsidRPr="007766AB">
              <w:rPr>
                <w:rFonts w:ascii="Verdana" w:hAnsi="Verdana" w:cs="Arial"/>
                <w:spacing w:val="-8"/>
              </w:rPr>
              <w:t xml:space="preserve"> </w:t>
            </w:r>
            <w:r w:rsidRPr="007766AB">
              <w:rPr>
                <w:rFonts w:ascii="Verdana" w:hAnsi="Verdana" w:cs="Arial"/>
              </w:rPr>
              <w:t>emitidos nos Estados Unidos (“</w:t>
            </w:r>
            <w:r w:rsidRPr="007766AB">
              <w:rPr>
                <w:rFonts w:ascii="Verdana" w:hAnsi="Verdana" w:cs="Arial"/>
                <w:b/>
              </w:rPr>
              <w:t>ADRs</w:t>
            </w:r>
            <w:r w:rsidRPr="007766AB">
              <w:rPr>
                <w:rFonts w:ascii="Verdana" w:hAnsi="Verdana" w:cs="Arial"/>
              </w:rPr>
              <w:t xml:space="preserve">”), sendo que tais investidores somente </w:t>
            </w:r>
            <w:r w:rsidRPr="007766AB">
              <w:rPr>
                <w:rFonts w:ascii="Verdana" w:hAnsi="Verdana" w:cs="Arial"/>
              </w:rPr>
              <w:lastRenderedPageBreak/>
              <w:t>estarão autorizados a participar da Oferta</w:t>
            </w:r>
            <w:r w:rsidRPr="007766AB">
              <w:rPr>
                <w:rFonts w:ascii="Verdana" w:hAnsi="Verdana" w:cs="Arial"/>
                <w:spacing w:val="-2"/>
              </w:rPr>
              <w:t xml:space="preserve"> </w:t>
            </w:r>
            <w:r w:rsidRPr="007766AB">
              <w:rPr>
                <w:rFonts w:ascii="Verdana" w:hAnsi="Verdana" w:cs="Arial"/>
              </w:rPr>
              <w:t>se,</w:t>
            </w:r>
            <w:r w:rsidRPr="007766AB">
              <w:rPr>
                <w:rFonts w:ascii="Verdana" w:hAnsi="Verdana" w:cs="Arial"/>
                <w:spacing w:val="-2"/>
              </w:rPr>
              <w:t xml:space="preserve"> </w:t>
            </w:r>
            <w:r w:rsidRPr="007766AB">
              <w:rPr>
                <w:rFonts w:ascii="Verdana" w:hAnsi="Verdana" w:cs="Arial"/>
              </w:rPr>
              <w:t>na</w:t>
            </w:r>
            <w:r w:rsidRPr="007766AB">
              <w:rPr>
                <w:rFonts w:ascii="Verdana" w:hAnsi="Verdana" w:cs="Arial"/>
                <w:spacing w:val="-3"/>
              </w:rPr>
              <w:t xml:space="preserve"> </w:t>
            </w:r>
            <w:r w:rsidRPr="007766AB">
              <w:rPr>
                <w:rFonts w:ascii="Verdana" w:hAnsi="Verdana" w:cs="Arial"/>
              </w:rPr>
              <w:t>qualidade</w:t>
            </w:r>
            <w:r w:rsidRPr="007766AB">
              <w:rPr>
                <w:rFonts w:ascii="Verdana" w:hAnsi="Verdana" w:cs="Arial"/>
                <w:spacing w:val="-2"/>
              </w:rPr>
              <w:t xml:space="preserve"> </w:t>
            </w:r>
            <w:r w:rsidRPr="007766AB">
              <w:rPr>
                <w:rFonts w:ascii="Verdana" w:hAnsi="Verdana" w:cs="Arial"/>
              </w:rPr>
              <w:t>de Investidores Profissionais,</w:t>
            </w:r>
            <w:r w:rsidRPr="007766AB">
              <w:rPr>
                <w:rFonts w:ascii="Verdana" w:hAnsi="Verdana" w:cs="Arial"/>
                <w:spacing w:val="-2"/>
              </w:rPr>
              <w:t xml:space="preserve"> </w:t>
            </w:r>
            <w:r w:rsidRPr="007766AB">
              <w:rPr>
                <w:rFonts w:ascii="Verdana" w:hAnsi="Verdana" w:cs="Arial"/>
              </w:rPr>
              <w:t>investirem</w:t>
            </w:r>
            <w:r w:rsidRPr="007766AB">
              <w:rPr>
                <w:rFonts w:ascii="Verdana" w:hAnsi="Verdana" w:cs="Arial"/>
                <w:spacing w:val="-2"/>
              </w:rPr>
              <w:t xml:space="preserve"> </w:t>
            </w:r>
            <w:r w:rsidRPr="007766AB">
              <w:rPr>
                <w:rFonts w:ascii="Verdana" w:hAnsi="Verdana" w:cs="Arial"/>
              </w:rPr>
              <w:t>diretamente</w:t>
            </w:r>
            <w:r w:rsidRPr="007766AB">
              <w:rPr>
                <w:rFonts w:ascii="Verdana" w:hAnsi="Verdana" w:cs="Arial"/>
                <w:spacing w:val="-3"/>
              </w:rPr>
              <w:t xml:space="preserve"> </w:t>
            </w:r>
            <w:r w:rsidRPr="007766AB">
              <w:rPr>
                <w:rFonts w:ascii="Verdana" w:hAnsi="Verdana" w:cs="Arial"/>
              </w:rPr>
              <w:t>nas</w:t>
            </w:r>
            <w:r w:rsidRPr="007766AB">
              <w:rPr>
                <w:rFonts w:ascii="Verdana" w:hAnsi="Verdana" w:cs="Arial"/>
                <w:spacing w:val="-1"/>
              </w:rPr>
              <w:t xml:space="preserve"> </w:t>
            </w:r>
            <w:r w:rsidRPr="007766AB">
              <w:rPr>
                <w:rFonts w:ascii="Verdana" w:hAnsi="Verdana" w:cs="Arial"/>
              </w:rPr>
              <w:t>Ações no Brasil no</w:t>
            </w:r>
            <w:r w:rsidRPr="007766AB">
              <w:rPr>
                <w:rFonts w:ascii="Verdana" w:hAnsi="Verdana" w:cs="Arial"/>
                <w:spacing w:val="-3"/>
              </w:rPr>
              <w:t xml:space="preserve"> </w:t>
            </w:r>
            <w:r w:rsidRPr="007766AB">
              <w:rPr>
                <w:rFonts w:ascii="Verdana" w:hAnsi="Verdana" w:cs="Arial"/>
              </w:rPr>
              <w:t>âmbito da</w:t>
            </w:r>
            <w:r w:rsidRPr="007766AB">
              <w:rPr>
                <w:rFonts w:ascii="Verdana" w:hAnsi="Verdana" w:cs="Arial"/>
                <w:spacing w:val="-3"/>
              </w:rPr>
              <w:t xml:space="preserve"> </w:t>
            </w:r>
            <w:r w:rsidRPr="007766AB">
              <w:rPr>
                <w:rFonts w:ascii="Verdana" w:hAnsi="Verdana" w:cs="Arial"/>
              </w:rPr>
              <w:t>Oferta Institucional</w:t>
            </w:r>
            <w:bookmarkEnd w:id="6"/>
            <w:r w:rsidR="00D81D3D" w:rsidRPr="007766AB">
              <w:rPr>
                <w:rFonts w:ascii="Verdana" w:hAnsi="Verdana" w:cs="Arial"/>
                <w:bCs/>
              </w:rPr>
              <w:t>.</w:t>
            </w:r>
          </w:p>
        </w:tc>
        <w:tc>
          <w:tcPr>
            <w:tcW w:w="5168" w:type="dxa"/>
          </w:tcPr>
          <w:p w14:paraId="437F5BBA" w14:textId="4B9713BF" w:rsidR="00D81D3D" w:rsidRPr="007766AB" w:rsidDel="00CC3891" w:rsidRDefault="00EB4F27" w:rsidP="00D81D3D">
            <w:pPr>
              <w:pStyle w:val="Corpodetexto"/>
              <w:tabs>
                <w:tab w:val="left" w:pos="0"/>
                <w:tab w:val="left" w:pos="817"/>
              </w:tabs>
              <w:spacing w:line="320" w:lineRule="exact"/>
              <w:jc w:val="both"/>
              <w:rPr>
                <w:rFonts w:ascii="Verdana" w:hAnsi="Verdana" w:cs="Arial"/>
                <w:lang w:val="en-US"/>
              </w:rPr>
            </w:pPr>
            <w:r w:rsidRPr="008A1F8B">
              <w:rPr>
                <w:rFonts w:ascii="Verdana" w:hAnsi="Verdana" w:cs="Arial"/>
                <w:lang w:val="en-US"/>
              </w:rPr>
              <w:lastRenderedPageBreak/>
              <w:t xml:space="preserve">The Offer will not be intended for holders of the Company's </w:t>
            </w:r>
            <w:r w:rsidRPr="008A1F8B">
              <w:rPr>
                <w:rFonts w:ascii="Verdana" w:hAnsi="Verdana" w:cs="Arial"/>
                <w:i/>
                <w:lang w:val="en-US"/>
              </w:rPr>
              <w:t>American depositary receipts</w:t>
            </w:r>
            <w:r w:rsidRPr="008A1F8B">
              <w:rPr>
                <w:rFonts w:ascii="Verdana" w:hAnsi="Verdana" w:cs="Arial"/>
                <w:lang w:val="en-US"/>
              </w:rPr>
              <w:t xml:space="preserve"> issued in the United States ("</w:t>
            </w:r>
            <w:r w:rsidRPr="008A1F8B">
              <w:rPr>
                <w:rFonts w:ascii="Verdana" w:hAnsi="Verdana" w:cs="Arial"/>
                <w:b/>
                <w:lang w:val="en-US"/>
              </w:rPr>
              <w:t>ADRs</w:t>
            </w:r>
            <w:r w:rsidRPr="008A1F8B">
              <w:rPr>
                <w:rFonts w:ascii="Verdana" w:hAnsi="Verdana" w:cs="Arial"/>
                <w:lang w:val="en-US"/>
              </w:rPr>
              <w:t xml:space="preserve">"), and such investors will only be authorized to participate in the Offer if, as </w:t>
            </w:r>
            <w:r w:rsidRPr="008A1F8B">
              <w:rPr>
                <w:rFonts w:ascii="Verdana" w:hAnsi="Verdana" w:cs="Arial"/>
                <w:lang w:val="en-US"/>
              </w:rPr>
              <w:lastRenderedPageBreak/>
              <w:t>Professional Investors, they invest directly in the Shares in Brazil within the scope of the Institutional Offering</w:t>
            </w:r>
            <w:r w:rsidR="00D81D3D" w:rsidRPr="007766AB">
              <w:rPr>
                <w:rFonts w:ascii="Verdana" w:hAnsi="Verdana" w:cs="Arial"/>
                <w:lang w:val="en-US"/>
              </w:rPr>
              <w:t>.</w:t>
            </w:r>
          </w:p>
        </w:tc>
      </w:tr>
      <w:tr w:rsidR="00D81D3D" w:rsidRPr="00016DC5" w14:paraId="1EF245F1" w14:textId="77777777" w:rsidTr="00BE12AD">
        <w:trPr>
          <w:trHeight w:val="20"/>
          <w:jc w:val="center"/>
        </w:trPr>
        <w:tc>
          <w:tcPr>
            <w:tcW w:w="5382" w:type="dxa"/>
          </w:tcPr>
          <w:p w14:paraId="1D8C96AD" w14:textId="77777777" w:rsidR="00D81D3D" w:rsidRPr="005520B3" w:rsidDel="00520448" w:rsidRDefault="00D81D3D" w:rsidP="00D81D3D">
            <w:pPr>
              <w:pStyle w:val="Corpodetexto"/>
              <w:tabs>
                <w:tab w:val="left" w:pos="0"/>
                <w:tab w:val="left" w:pos="817"/>
              </w:tabs>
              <w:spacing w:line="320" w:lineRule="exact"/>
              <w:jc w:val="both"/>
              <w:rPr>
                <w:rFonts w:ascii="Verdana" w:hAnsi="Verdana" w:cs="Arial"/>
                <w:lang w:val="en-US"/>
              </w:rPr>
            </w:pPr>
          </w:p>
        </w:tc>
        <w:tc>
          <w:tcPr>
            <w:tcW w:w="5168" w:type="dxa"/>
          </w:tcPr>
          <w:p w14:paraId="357D31F5" w14:textId="77777777" w:rsidR="00D81D3D" w:rsidRPr="002B2AAB" w:rsidDel="00CC3891" w:rsidRDefault="00D81D3D" w:rsidP="00D81D3D">
            <w:pPr>
              <w:pStyle w:val="Corpodetexto"/>
              <w:tabs>
                <w:tab w:val="left" w:pos="0"/>
                <w:tab w:val="left" w:pos="817"/>
              </w:tabs>
              <w:spacing w:line="320" w:lineRule="exact"/>
              <w:jc w:val="both"/>
              <w:rPr>
                <w:rFonts w:ascii="Verdana" w:hAnsi="Verdana" w:cs="Arial"/>
                <w:lang w:val="en-US"/>
              </w:rPr>
            </w:pPr>
          </w:p>
        </w:tc>
      </w:tr>
      <w:tr w:rsidR="00D81D3D" w:rsidRPr="00016DC5" w14:paraId="7FCA5D58" w14:textId="77777777" w:rsidTr="00BE12AD">
        <w:trPr>
          <w:trHeight w:val="20"/>
          <w:jc w:val="center"/>
        </w:trPr>
        <w:tc>
          <w:tcPr>
            <w:tcW w:w="5382" w:type="dxa"/>
          </w:tcPr>
          <w:p w14:paraId="6D17118B" w14:textId="5E5092DC" w:rsidR="00D81D3D" w:rsidRPr="00295D4D" w:rsidRDefault="00D81D3D" w:rsidP="00D81D3D">
            <w:pPr>
              <w:pStyle w:val="Corpodetexto"/>
              <w:tabs>
                <w:tab w:val="left" w:pos="0"/>
                <w:tab w:val="left" w:pos="817"/>
              </w:tabs>
              <w:spacing w:line="320" w:lineRule="exact"/>
              <w:jc w:val="both"/>
              <w:rPr>
                <w:rFonts w:ascii="Verdana" w:hAnsi="Verdana" w:cs="Arial"/>
                <w:bCs/>
              </w:rPr>
            </w:pPr>
            <w:bookmarkStart w:id="7" w:name="_Hlk216997717"/>
            <w:bookmarkStart w:id="8" w:name="_Hlk217173170"/>
            <w:r w:rsidRPr="005520B3">
              <w:rPr>
                <w:rFonts w:ascii="Verdana" w:hAnsi="Verdana" w:cs="Arial"/>
              </w:rPr>
              <w:t xml:space="preserve">Simultaneamente, no âmbito da Oferta, haverá colocação privada das Ações, </w:t>
            </w:r>
            <w:r>
              <w:rPr>
                <w:rFonts w:ascii="Verdana" w:hAnsi="Verdana" w:cs="Arial"/>
              </w:rPr>
              <w:t xml:space="preserve">para Investidores Profissionais </w:t>
            </w:r>
            <w:r w:rsidRPr="005520B3">
              <w:rPr>
                <w:rFonts w:ascii="Verdana" w:hAnsi="Verdana" w:cs="Arial"/>
              </w:rPr>
              <w:t xml:space="preserve">no exterior, em transações isentas ou não sujeitas a registro nos termos do </w:t>
            </w:r>
            <w:r w:rsidRPr="005520B3">
              <w:rPr>
                <w:rFonts w:ascii="Verdana" w:hAnsi="Verdana" w:cs="Arial"/>
                <w:i/>
              </w:rPr>
              <w:t xml:space="preserve">U.S. Securities Act of 1933 </w:t>
            </w:r>
            <w:r w:rsidRPr="005520B3">
              <w:rPr>
                <w:rFonts w:ascii="Verdana" w:hAnsi="Verdana" w:cs="Arial"/>
              </w:rPr>
              <w:t>(“</w:t>
            </w:r>
            <w:r w:rsidRPr="005520B3">
              <w:rPr>
                <w:rFonts w:ascii="Verdana" w:hAnsi="Verdana" w:cs="Arial"/>
                <w:b/>
                <w:i/>
              </w:rPr>
              <w:t>Securities Act</w:t>
            </w:r>
            <w:r w:rsidRPr="005520B3">
              <w:rPr>
                <w:rFonts w:ascii="Verdana" w:hAnsi="Verdana" w:cs="Arial"/>
              </w:rPr>
              <w:t xml:space="preserve">”), de acordo com a seção 4(a)(2) do </w:t>
            </w:r>
            <w:r w:rsidRPr="005520B3">
              <w:rPr>
                <w:rFonts w:ascii="Verdana" w:hAnsi="Verdana" w:cs="Arial"/>
                <w:i/>
              </w:rPr>
              <w:t>Securities Act</w:t>
            </w:r>
            <w:r w:rsidRPr="005520B3">
              <w:rPr>
                <w:rFonts w:ascii="Verdana" w:hAnsi="Verdana" w:cs="Arial"/>
              </w:rPr>
              <w:t xml:space="preserve"> e/ou o </w:t>
            </w:r>
            <w:r w:rsidRPr="005520B3">
              <w:rPr>
                <w:rFonts w:ascii="Verdana" w:hAnsi="Verdana" w:cs="Arial"/>
                <w:i/>
              </w:rPr>
              <w:t>Regulation S</w:t>
            </w:r>
            <w:r w:rsidRPr="005520B3">
              <w:rPr>
                <w:rFonts w:ascii="Verdana" w:hAnsi="Verdana" w:cs="Arial"/>
              </w:rPr>
              <w:t xml:space="preserve"> do </w:t>
            </w:r>
            <w:r w:rsidRPr="005520B3">
              <w:rPr>
                <w:rFonts w:ascii="Verdana" w:hAnsi="Verdana" w:cs="Arial"/>
                <w:i/>
              </w:rPr>
              <w:t>Securities Act</w:t>
            </w:r>
            <w:r w:rsidRPr="005520B3">
              <w:rPr>
                <w:rFonts w:ascii="Verdana" w:hAnsi="Verdana" w:cs="Arial"/>
              </w:rPr>
              <w:t xml:space="preserve"> e os regulamentos promulgados nos termos do </w:t>
            </w:r>
            <w:r w:rsidRPr="005520B3">
              <w:rPr>
                <w:rFonts w:ascii="Verdana" w:hAnsi="Verdana" w:cs="Arial"/>
                <w:i/>
              </w:rPr>
              <w:t>Securities Act</w:t>
            </w:r>
            <w:r w:rsidRPr="005520B3">
              <w:rPr>
                <w:rFonts w:ascii="Verdana" w:hAnsi="Verdana" w:cs="Arial"/>
              </w:rPr>
              <w:t>.</w:t>
            </w:r>
            <w:bookmarkEnd w:id="7"/>
            <w:bookmarkEnd w:id="8"/>
          </w:p>
        </w:tc>
        <w:tc>
          <w:tcPr>
            <w:tcW w:w="5168" w:type="dxa"/>
          </w:tcPr>
          <w:p w14:paraId="2908FFFA" w14:textId="226DB39E" w:rsidR="00D81D3D" w:rsidRPr="005520B3" w:rsidRDefault="00D81D3D" w:rsidP="00D81D3D">
            <w:pPr>
              <w:pStyle w:val="Corpodetexto"/>
              <w:tabs>
                <w:tab w:val="left" w:pos="0"/>
                <w:tab w:val="left" w:pos="817"/>
              </w:tabs>
              <w:spacing w:line="320" w:lineRule="exact"/>
              <w:jc w:val="both"/>
              <w:rPr>
                <w:rFonts w:ascii="Verdana" w:hAnsi="Verdana" w:cs="Arial"/>
                <w:lang w:val="en-US"/>
              </w:rPr>
            </w:pPr>
            <w:r w:rsidRPr="005520B3">
              <w:rPr>
                <w:rFonts w:ascii="Verdana" w:hAnsi="Verdana" w:cs="Arial"/>
                <w:lang w:val="en-US"/>
              </w:rPr>
              <w:t xml:space="preserve">Simultaneously, in connection with the offering, there will be a private placement of the </w:t>
            </w:r>
            <w:r>
              <w:rPr>
                <w:rFonts w:ascii="Verdana" w:hAnsi="Verdana" w:cs="Arial"/>
                <w:lang w:val="en-US"/>
              </w:rPr>
              <w:t>S</w:t>
            </w:r>
            <w:r w:rsidRPr="005520B3">
              <w:rPr>
                <w:rFonts w:ascii="Verdana" w:hAnsi="Verdana" w:cs="Arial"/>
                <w:lang w:val="en-US"/>
              </w:rPr>
              <w:t xml:space="preserve">hares, </w:t>
            </w:r>
            <w:r>
              <w:rPr>
                <w:rFonts w:ascii="Verdana" w:hAnsi="Verdana" w:cs="Arial"/>
                <w:lang w:val="en-US"/>
              </w:rPr>
              <w:t xml:space="preserve">to Professional Investors </w:t>
            </w:r>
            <w:r w:rsidRPr="005520B3">
              <w:rPr>
                <w:rFonts w:ascii="Verdana" w:hAnsi="Verdana" w:cs="Arial"/>
                <w:lang w:val="en-US"/>
              </w:rPr>
              <w:t>outside Brazil, in transactions exempt from, or not subject to, registration under the U.S. Securities Act of 1933 (the “</w:t>
            </w:r>
            <w:r w:rsidRPr="005520B3">
              <w:rPr>
                <w:rFonts w:ascii="Verdana" w:hAnsi="Verdana" w:cs="Arial"/>
                <w:b/>
                <w:bCs/>
                <w:lang w:val="en-US"/>
              </w:rPr>
              <w:t>Securities Act</w:t>
            </w:r>
            <w:r w:rsidRPr="005520B3">
              <w:rPr>
                <w:rFonts w:ascii="Verdana" w:hAnsi="Verdana" w:cs="Arial"/>
                <w:lang w:val="en-US"/>
              </w:rPr>
              <w:t>”), pursuant to Section 4(a)(2) of the Securities Act and/or Regulation S under the Securities Act, and the rules and regulations promulgated thereunder</w:t>
            </w:r>
            <w:r w:rsidRPr="002B2AAB">
              <w:rPr>
                <w:rFonts w:ascii="Verdana" w:hAnsi="Verdana" w:cs="Arial"/>
                <w:lang w:val="en-US"/>
              </w:rPr>
              <w:t>.</w:t>
            </w:r>
          </w:p>
          <w:p w14:paraId="2B5BE76F" w14:textId="77777777" w:rsidR="00D81D3D" w:rsidRPr="00295D4D" w:rsidRDefault="00D81D3D" w:rsidP="00D81D3D">
            <w:pPr>
              <w:pStyle w:val="Corpodetexto"/>
              <w:tabs>
                <w:tab w:val="left" w:pos="0"/>
                <w:tab w:val="left" w:pos="817"/>
              </w:tabs>
              <w:spacing w:line="320" w:lineRule="exact"/>
              <w:jc w:val="both"/>
              <w:rPr>
                <w:rFonts w:ascii="Verdana" w:hAnsi="Verdana" w:cs="Arial"/>
                <w:bCs/>
                <w:lang w:val="en-US"/>
              </w:rPr>
            </w:pPr>
          </w:p>
        </w:tc>
      </w:tr>
      <w:tr w:rsidR="00D81D3D" w:rsidRPr="00016DC5" w14:paraId="709664DD" w14:textId="77777777" w:rsidTr="00BE12AD">
        <w:trPr>
          <w:trHeight w:val="20"/>
          <w:jc w:val="center"/>
        </w:trPr>
        <w:tc>
          <w:tcPr>
            <w:tcW w:w="5382" w:type="dxa"/>
          </w:tcPr>
          <w:p w14:paraId="165E6D9D" w14:textId="3F37E98C" w:rsidR="00D81D3D" w:rsidRPr="00295D4D" w:rsidRDefault="00D81D3D" w:rsidP="00D81D3D">
            <w:pPr>
              <w:pStyle w:val="Corpodetexto"/>
              <w:tabs>
                <w:tab w:val="left" w:pos="0"/>
                <w:tab w:val="left" w:pos="817"/>
              </w:tabs>
              <w:spacing w:line="320" w:lineRule="exact"/>
              <w:jc w:val="both"/>
              <w:rPr>
                <w:rFonts w:ascii="Verdana" w:hAnsi="Verdana" w:cs="Arial"/>
                <w:bCs/>
              </w:rPr>
            </w:pPr>
            <w:r w:rsidRPr="00295D4D">
              <w:rPr>
                <w:rFonts w:ascii="Verdana" w:hAnsi="Verdana" w:cs="Arial"/>
                <w:b/>
                <w:bCs/>
              </w:rPr>
              <w:t xml:space="preserve">Não será permitida a participação dos detentores dos </w:t>
            </w:r>
            <w:r w:rsidRPr="008C75BA">
              <w:rPr>
                <w:rFonts w:ascii="Verdana" w:hAnsi="Verdana" w:cs="Arial"/>
                <w:b/>
                <w:bCs/>
              </w:rPr>
              <w:t>AD</w:t>
            </w:r>
            <w:r w:rsidRPr="00295D4D">
              <w:rPr>
                <w:rFonts w:ascii="Verdana" w:hAnsi="Verdana" w:cs="Arial"/>
                <w:b/>
                <w:bCs/>
              </w:rPr>
              <w:t>R</w:t>
            </w:r>
            <w:r w:rsidRPr="008C75BA">
              <w:rPr>
                <w:rFonts w:ascii="Verdana" w:hAnsi="Verdana" w:cs="Arial"/>
                <w:b/>
                <w:bCs/>
              </w:rPr>
              <w:t>s</w:t>
            </w:r>
            <w:r w:rsidRPr="00295D4D">
              <w:rPr>
                <w:rFonts w:ascii="Verdana" w:hAnsi="Verdana" w:cs="Arial"/>
                <w:b/>
                <w:bCs/>
              </w:rPr>
              <w:t xml:space="preserve"> na Oferta Prioritária.</w:t>
            </w:r>
            <w:r w:rsidR="00016DC5">
              <w:rPr>
                <w:rFonts w:ascii="Verdana" w:hAnsi="Verdana" w:cs="Arial"/>
                <w:b/>
                <w:bCs/>
              </w:rPr>
              <w:t xml:space="preserve"> </w:t>
            </w:r>
            <w:r w:rsidR="00016DC5" w:rsidRPr="00094E88">
              <w:rPr>
                <w:rFonts w:ascii="Verdana" w:hAnsi="Verdana" w:cs="Arial"/>
                <w:b/>
                <w:bCs/>
              </w:rPr>
              <w:t xml:space="preserve">A Oferta Prioritária e a Oferta Institucional não foram e não serão registradas nos termos do </w:t>
            </w:r>
            <w:r w:rsidR="00016DC5" w:rsidRPr="00094E88">
              <w:rPr>
                <w:rFonts w:ascii="Verdana" w:hAnsi="Verdana" w:cs="Arial"/>
                <w:b/>
                <w:bCs/>
                <w:i/>
                <w:iCs/>
              </w:rPr>
              <w:t xml:space="preserve">Securities Act </w:t>
            </w:r>
            <w:r w:rsidR="00016DC5" w:rsidRPr="00094E88">
              <w:rPr>
                <w:rFonts w:ascii="Verdana" w:hAnsi="Verdana" w:cs="Arial"/>
                <w:b/>
                <w:bCs/>
              </w:rPr>
              <w:t>ou qualquer outra legislação federal ou estadual dos Estados Unidos.</w:t>
            </w:r>
          </w:p>
        </w:tc>
        <w:tc>
          <w:tcPr>
            <w:tcW w:w="5168" w:type="dxa"/>
          </w:tcPr>
          <w:p w14:paraId="3F9FCD5E" w14:textId="7FCED123" w:rsidR="00D81D3D" w:rsidRPr="00295D4D" w:rsidRDefault="00D81D3D" w:rsidP="00D81D3D">
            <w:pPr>
              <w:pStyle w:val="Corpodetexto"/>
              <w:tabs>
                <w:tab w:val="left" w:pos="0"/>
                <w:tab w:val="left" w:pos="817"/>
              </w:tabs>
              <w:spacing w:line="320" w:lineRule="exact"/>
              <w:jc w:val="both"/>
              <w:rPr>
                <w:rFonts w:ascii="Verdana" w:hAnsi="Verdana" w:cs="Arial"/>
                <w:b/>
                <w:bCs/>
                <w:lang w:val="en-US"/>
              </w:rPr>
            </w:pPr>
            <w:r w:rsidRPr="00295D4D">
              <w:rPr>
                <w:rFonts w:ascii="Verdana" w:hAnsi="Verdana" w:cs="Arial"/>
                <w:b/>
                <w:bCs/>
                <w:lang w:val="en-US"/>
              </w:rPr>
              <w:t>Holders of ADRs will not be permitted to participate in the Priority Offering.</w:t>
            </w:r>
            <w:r w:rsidR="00016DC5">
              <w:rPr>
                <w:rFonts w:ascii="Verdana" w:hAnsi="Verdana" w:cs="Arial"/>
                <w:b/>
                <w:bCs/>
                <w:lang w:val="en-US"/>
              </w:rPr>
              <w:t xml:space="preserve"> </w:t>
            </w:r>
            <w:r w:rsidR="00016DC5" w:rsidRPr="00FA3016">
              <w:rPr>
                <w:rFonts w:ascii="Verdana" w:hAnsi="Verdana" w:cs="Arial"/>
                <w:b/>
                <w:bCs/>
                <w:lang w:val="en-US"/>
              </w:rPr>
              <w:t xml:space="preserve">The Priority Offering and Institutional Offering have not been and will not be registered under the </w:t>
            </w:r>
            <w:r w:rsidR="00016DC5" w:rsidRPr="00FA3016">
              <w:rPr>
                <w:rFonts w:ascii="Verdana" w:hAnsi="Verdana" w:cs="Arial"/>
                <w:b/>
                <w:bCs/>
                <w:i/>
                <w:iCs/>
                <w:lang w:val="en-US"/>
              </w:rPr>
              <w:t>Securities Act</w:t>
            </w:r>
            <w:r w:rsidR="00016DC5" w:rsidRPr="00FA3016">
              <w:rPr>
                <w:rFonts w:ascii="Verdana" w:hAnsi="Verdana" w:cs="Arial"/>
                <w:b/>
                <w:bCs/>
                <w:lang w:val="en-US"/>
              </w:rPr>
              <w:t xml:space="preserve"> or any other federal or state legislation of the United States.</w:t>
            </w:r>
          </w:p>
        </w:tc>
      </w:tr>
      <w:tr w:rsidR="00D81D3D" w:rsidRPr="00016DC5" w14:paraId="51861E60" w14:textId="77777777" w:rsidTr="00BE12AD">
        <w:trPr>
          <w:trHeight w:val="20"/>
          <w:jc w:val="center"/>
        </w:trPr>
        <w:tc>
          <w:tcPr>
            <w:tcW w:w="5382" w:type="dxa"/>
          </w:tcPr>
          <w:p w14:paraId="340136B1" w14:textId="77777777" w:rsidR="00D81D3D" w:rsidRPr="00295D4D" w:rsidRDefault="00D81D3D" w:rsidP="00D81D3D">
            <w:pPr>
              <w:pStyle w:val="Corpodetexto"/>
              <w:tabs>
                <w:tab w:val="left" w:pos="0"/>
                <w:tab w:val="left" w:pos="817"/>
              </w:tabs>
              <w:spacing w:line="320" w:lineRule="exact"/>
              <w:jc w:val="both"/>
              <w:rPr>
                <w:rFonts w:ascii="Verdana" w:hAnsi="Verdana" w:cs="Arial"/>
                <w:bCs/>
                <w:lang w:val="en-US"/>
              </w:rPr>
            </w:pPr>
          </w:p>
        </w:tc>
        <w:tc>
          <w:tcPr>
            <w:tcW w:w="5168" w:type="dxa"/>
          </w:tcPr>
          <w:p w14:paraId="2D9BEAA9" w14:textId="77777777" w:rsidR="00D81D3D" w:rsidRPr="00295D4D" w:rsidRDefault="00D81D3D" w:rsidP="00D81D3D">
            <w:pPr>
              <w:pStyle w:val="Corpodetexto"/>
              <w:tabs>
                <w:tab w:val="left" w:pos="0"/>
                <w:tab w:val="left" w:pos="817"/>
              </w:tabs>
              <w:spacing w:line="320" w:lineRule="exact"/>
              <w:jc w:val="both"/>
              <w:rPr>
                <w:rFonts w:ascii="Verdana" w:hAnsi="Verdana" w:cs="Arial"/>
                <w:lang w:val="en-US"/>
              </w:rPr>
            </w:pPr>
          </w:p>
        </w:tc>
      </w:tr>
      <w:tr w:rsidR="00D81D3D" w:rsidRPr="00016DC5" w14:paraId="6BE434A4" w14:textId="77777777" w:rsidTr="00BE12AD">
        <w:trPr>
          <w:trHeight w:val="20"/>
          <w:jc w:val="center"/>
        </w:trPr>
        <w:tc>
          <w:tcPr>
            <w:tcW w:w="5382" w:type="dxa"/>
          </w:tcPr>
          <w:p w14:paraId="005A003E" w14:textId="5344332F" w:rsidR="00D81D3D" w:rsidRPr="007766AB" w:rsidRDefault="007766AB" w:rsidP="00C07A1B">
            <w:pPr>
              <w:pStyle w:val="Corpodetexto"/>
              <w:tabs>
                <w:tab w:val="left" w:pos="0"/>
                <w:tab w:val="left" w:pos="817"/>
              </w:tabs>
              <w:spacing w:line="320" w:lineRule="exact"/>
              <w:jc w:val="both"/>
              <w:rPr>
                <w:rFonts w:ascii="Verdana" w:eastAsiaTheme="minorHAnsi" w:hAnsi="Verdana" w:cs="Arial"/>
                <w:lang w:eastAsia="en-GB"/>
              </w:rPr>
            </w:pPr>
            <w:r w:rsidRPr="007766AB">
              <w:rPr>
                <w:rFonts w:ascii="Verdana" w:hAnsi="Verdana" w:cs="Arial"/>
              </w:rPr>
              <w:t>Nos termos dos artigos 73 e 74 da Resolução CVM 160, será admitida a distribuição parcial das Ações no âmbito da Oferta, desde que seja observada a quantidade mínima de 2.689.082.993.565.000 Ações (quantidade essa que passará a ser de 35.854.439.914.200 Ações após o Grupamento) (“</w:t>
            </w:r>
            <w:r w:rsidRPr="007766AB">
              <w:rPr>
                <w:rFonts w:ascii="Verdana" w:hAnsi="Verdana" w:cs="Arial"/>
                <w:b/>
                <w:bCs/>
              </w:rPr>
              <w:t>Quantidade Mínima de Ações</w:t>
            </w:r>
            <w:r w:rsidRPr="007766AB">
              <w:rPr>
                <w:rFonts w:ascii="Verdana" w:hAnsi="Verdana" w:cs="Arial"/>
              </w:rPr>
              <w:t xml:space="preserve">”), observado o disposto neste Fato Relevante. </w:t>
            </w:r>
            <w:r w:rsidRPr="007766AB">
              <w:rPr>
                <w:rFonts w:ascii="Verdana" w:hAnsi="Verdana" w:cs="Arial"/>
                <w:b/>
                <w:bCs/>
              </w:rPr>
              <w:t xml:space="preserve">Caso seja verificada a distribuição parcial, não haverá abertura de prazo para desistência nem para modificação dos Pedidos de Subscrição Prioritária e das ordens dos Investidores Profissionais. </w:t>
            </w:r>
            <w:r w:rsidRPr="007766AB">
              <w:rPr>
                <w:rFonts w:ascii="Verdana" w:hAnsi="Verdana" w:cs="Arial"/>
              </w:rPr>
              <w:t>Assim,</w:t>
            </w:r>
            <w:r w:rsidRPr="007766AB">
              <w:rPr>
                <w:rFonts w:ascii="Verdana" w:hAnsi="Verdana" w:cs="Arial"/>
                <w:spacing w:val="-13"/>
              </w:rPr>
              <w:t xml:space="preserve"> </w:t>
            </w:r>
            <w:r w:rsidRPr="007766AB">
              <w:rPr>
                <w:rFonts w:ascii="Verdana" w:hAnsi="Verdana" w:cs="Arial"/>
              </w:rPr>
              <w:t>caso</w:t>
            </w:r>
            <w:r w:rsidRPr="007766AB">
              <w:rPr>
                <w:rFonts w:ascii="Verdana" w:hAnsi="Verdana" w:cs="Arial"/>
                <w:spacing w:val="-13"/>
              </w:rPr>
              <w:t xml:space="preserve"> </w:t>
            </w:r>
            <w:r w:rsidRPr="007766AB">
              <w:rPr>
                <w:rFonts w:ascii="Verdana" w:hAnsi="Verdana" w:cs="Arial"/>
              </w:rPr>
              <w:t>não</w:t>
            </w:r>
            <w:r w:rsidRPr="007766AB">
              <w:rPr>
                <w:rFonts w:ascii="Verdana" w:hAnsi="Verdana" w:cs="Arial"/>
                <w:spacing w:val="-13"/>
              </w:rPr>
              <w:t xml:space="preserve"> </w:t>
            </w:r>
            <w:r w:rsidRPr="007766AB">
              <w:rPr>
                <w:rFonts w:ascii="Verdana" w:hAnsi="Verdana" w:cs="Arial"/>
              </w:rPr>
              <w:t>haja</w:t>
            </w:r>
            <w:r w:rsidRPr="007766AB">
              <w:rPr>
                <w:rFonts w:ascii="Verdana" w:hAnsi="Verdana" w:cs="Arial"/>
                <w:spacing w:val="-13"/>
              </w:rPr>
              <w:t xml:space="preserve"> </w:t>
            </w:r>
            <w:r w:rsidRPr="007766AB">
              <w:rPr>
                <w:rFonts w:ascii="Verdana" w:hAnsi="Verdana" w:cs="Arial"/>
              </w:rPr>
              <w:t>demanda</w:t>
            </w:r>
            <w:r w:rsidRPr="007766AB">
              <w:rPr>
                <w:rFonts w:ascii="Verdana" w:hAnsi="Verdana" w:cs="Arial"/>
                <w:spacing w:val="-13"/>
              </w:rPr>
              <w:t xml:space="preserve"> </w:t>
            </w:r>
            <w:r w:rsidRPr="007766AB">
              <w:rPr>
                <w:rFonts w:ascii="Verdana" w:hAnsi="Verdana" w:cs="Arial"/>
              </w:rPr>
              <w:t>para</w:t>
            </w:r>
            <w:r w:rsidRPr="007766AB">
              <w:rPr>
                <w:rFonts w:ascii="Verdana" w:hAnsi="Verdana" w:cs="Arial"/>
                <w:spacing w:val="-13"/>
              </w:rPr>
              <w:t xml:space="preserve"> </w:t>
            </w:r>
            <w:r w:rsidRPr="007766AB">
              <w:rPr>
                <w:rFonts w:ascii="Verdana" w:hAnsi="Verdana" w:cs="Arial"/>
              </w:rPr>
              <w:t>a</w:t>
            </w:r>
            <w:r w:rsidRPr="007766AB">
              <w:rPr>
                <w:rFonts w:ascii="Verdana" w:hAnsi="Verdana" w:cs="Arial"/>
                <w:spacing w:val="-14"/>
              </w:rPr>
              <w:t xml:space="preserve"> </w:t>
            </w:r>
            <w:r w:rsidRPr="007766AB">
              <w:rPr>
                <w:rFonts w:ascii="Verdana" w:hAnsi="Verdana" w:cs="Arial"/>
              </w:rPr>
              <w:t>subscrição</w:t>
            </w:r>
            <w:r w:rsidRPr="007766AB">
              <w:rPr>
                <w:rFonts w:ascii="Verdana" w:hAnsi="Verdana" w:cs="Arial"/>
                <w:spacing w:val="-13"/>
              </w:rPr>
              <w:t xml:space="preserve"> </w:t>
            </w:r>
            <w:r w:rsidRPr="007766AB">
              <w:rPr>
                <w:rFonts w:ascii="Verdana" w:hAnsi="Verdana" w:cs="Arial"/>
              </w:rPr>
              <w:t>da Quantidade Mínima de</w:t>
            </w:r>
            <w:r w:rsidRPr="007766AB">
              <w:rPr>
                <w:rFonts w:ascii="Verdana" w:hAnsi="Verdana" w:cs="Arial"/>
                <w:spacing w:val="-11"/>
              </w:rPr>
              <w:t xml:space="preserve"> </w:t>
            </w:r>
            <w:r w:rsidRPr="007766AB">
              <w:rPr>
                <w:rFonts w:ascii="Verdana" w:hAnsi="Verdana" w:cs="Arial"/>
              </w:rPr>
              <w:t>Ações por parte dos Acionistas e/ou dos Investidores Profissionais até a data da conclusão do Procedimento de Alocação, nos termos do Contrato de Colocação, a Oferta será cancelada, sendo todos os Pedidos de Subscrição Prioritária e todas as intenções de investimento</w:t>
            </w:r>
            <w:r w:rsidRPr="007766AB">
              <w:rPr>
                <w:rFonts w:ascii="Verdana" w:hAnsi="Verdana" w:cs="Arial"/>
                <w:spacing w:val="-10"/>
              </w:rPr>
              <w:t xml:space="preserve"> </w:t>
            </w:r>
            <w:r w:rsidRPr="007766AB">
              <w:rPr>
                <w:rFonts w:ascii="Verdana" w:hAnsi="Verdana" w:cs="Arial"/>
              </w:rPr>
              <w:t>dos</w:t>
            </w:r>
            <w:r w:rsidRPr="007766AB">
              <w:rPr>
                <w:rFonts w:ascii="Verdana" w:hAnsi="Verdana" w:cs="Arial"/>
                <w:spacing w:val="-9"/>
              </w:rPr>
              <w:t xml:space="preserve"> </w:t>
            </w:r>
            <w:r w:rsidRPr="007766AB">
              <w:rPr>
                <w:rFonts w:ascii="Verdana" w:hAnsi="Verdana" w:cs="Arial"/>
              </w:rPr>
              <w:t>Acionistas</w:t>
            </w:r>
            <w:r w:rsidRPr="007766AB">
              <w:rPr>
                <w:rFonts w:ascii="Verdana" w:hAnsi="Verdana" w:cs="Arial"/>
                <w:spacing w:val="-9"/>
              </w:rPr>
              <w:t xml:space="preserve"> </w:t>
            </w:r>
            <w:r w:rsidRPr="007766AB">
              <w:rPr>
                <w:rFonts w:ascii="Verdana" w:hAnsi="Verdana" w:cs="Arial"/>
              </w:rPr>
              <w:t>e/ou</w:t>
            </w:r>
            <w:r w:rsidRPr="007766AB">
              <w:rPr>
                <w:rFonts w:ascii="Verdana" w:hAnsi="Verdana" w:cs="Arial"/>
                <w:spacing w:val="-10"/>
              </w:rPr>
              <w:t xml:space="preserve"> </w:t>
            </w:r>
            <w:r w:rsidRPr="007766AB">
              <w:rPr>
                <w:rFonts w:ascii="Verdana" w:hAnsi="Verdana" w:cs="Arial"/>
              </w:rPr>
              <w:t>dos</w:t>
            </w:r>
            <w:r w:rsidRPr="007766AB">
              <w:rPr>
                <w:rFonts w:ascii="Verdana" w:hAnsi="Verdana" w:cs="Arial"/>
                <w:spacing w:val="-5"/>
              </w:rPr>
              <w:t xml:space="preserve"> </w:t>
            </w:r>
            <w:r w:rsidRPr="007766AB">
              <w:rPr>
                <w:rFonts w:ascii="Verdana" w:hAnsi="Verdana" w:cs="Arial"/>
              </w:rPr>
              <w:t>Investidores</w:t>
            </w:r>
            <w:r w:rsidRPr="007766AB">
              <w:rPr>
                <w:rFonts w:ascii="Verdana" w:hAnsi="Verdana" w:cs="Arial"/>
                <w:spacing w:val="-8"/>
              </w:rPr>
              <w:t xml:space="preserve"> </w:t>
            </w:r>
            <w:r w:rsidRPr="007766AB">
              <w:rPr>
                <w:rFonts w:ascii="Verdana" w:hAnsi="Verdana" w:cs="Arial"/>
              </w:rPr>
              <w:t>Profissionais,</w:t>
            </w:r>
            <w:r w:rsidRPr="007766AB">
              <w:rPr>
                <w:rFonts w:ascii="Verdana" w:hAnsi="Verdana" w:cs="Arial"/>
                <w:spacing w:val="-10"/>
              </w:rPr>
              <w:t xml:space="preserve"> </w:t>
            </w:r>
            <w:r w:rsidRPr="007766AB">
              <w:rPr>
                <w:rFonts w:ascii="Verdana" w:hAnsi="Verdana" w:cs="Arial"/>
              </w:rPr>
              <w:t>conforme</w:t>
            </w:r>
            <w:r w:rsidRPr="007766AB">
              <w:rPr>
                <w:rFonts w:ascii="Verdana" w:hAnsi="Verdana" w:cs="Arial"/>
                <w:spacing w:val="-7"/>
              </w:rPr>
              <w:t xml:space="preserve"> </w:t>
            </w:r>
            <w:r w:rsidRPr="007766AB">
              <w:rPr>
                <w:rFonts w:ascii="Verdana" w:hAnsi="Verdana" w:cs="Arial"/>
              </w:rPr>
              <w:t>o</w:t>
            </w:r>
            <w:r w:rsidRPr="007766AB">
              <w:rPr>
                <w:rFonts w:ascii="Verdana" w:hAnsi="Verdana" w:cs="Arial"/>
                <w:spacing w:val="-10"/>
              </w:rPr>
              <w:t xml:space="preserve"> </w:t>
            </w:r>
            <w:r w:rsidRPr="007766AB">
              <w:rPr>
                <w:rFonts w:ascii="Verdana" w:hAnsi="Verdana" w:cs="Arial"/>
              </w:rPr>
              <w:t>caso,</w:t>
            </w:r>
            <w:r w:rsidRPr="007766AB">
              <w:rPr>
                <w:rFonts w:ascii="Verdana" w:hAnsi="Verdana" w:cs="Arial"/>
                <w:spacing w:val="-6"/>
              </w:rPr>
              <w:t xml:space="preserve"> </w:t>
            </w:r>
            <w:r w:rsidRPr="007766AB">
              <w:rPr>
                <w:rFonts w:ascii="Verdana" w:hAnsi="Verdana" w:cs="Arial"/>
              </w:rPr>
              <w:t>automaticamente</w:t>
            </w:r>
            <w:r w:rsidRPr="007766AB">
              <w:rPr>
                <w:rFonts w:ascii="Verdana" w:hAnsi="Verdana" w:cs="Arial"/>
                <w:spacing w:val="-10"/>
              </w:rPr>
              <w:t xml:space="preserve"> </w:t>
            </w:r>
            <w:r w:rsidRPr="007766AB">
              <w:rPr>
                <w:rFonts w:ascii="Verdana" w:hAnsi="Verdana" w:cs="Arial"/>
              </w:rPr>
              <w:t>canceladas.</w:t>
            </w:r>
            <w:r w:rsidRPr="007766AB">
              <w:rPr>
                <w:rFonts w:ascii="Verdana" w:hAnsi="Verdana" w:cs="Arial"/>
                <w:spacing w:val="-10"/>
              </w:rPr>
              <w:t xml:space="preserve"> </w:t>
            </w:r>
            <w:r w:rsidRPr="007766AB">
              <w:rPr>
                <w:rFonts w:ascii="Verdana" w:hAnsi="Verdana" w:cs="Arial"/>
              </w:rPr>
              <w:t>Neste caso, os valores eventualmente depositados pelos Acionistas e/ou pelos Investidores Profissionais, conforme o caso, deverão</w:t>
            </w:r>
            <w:r w:rsidRPr="007766AB">
              <w:rPr>
                <w:rFonts w:ascii="Verdana" w:hAnsi="Verdana" w:cs="Arial"/>
                <w:spacing w:val="16"/>
              </w:rPr>
              <w:t xml:space="preserve"> </w:t>
            </w:r>
            <w:r w:rsidRPr="007766AB">
              <w:rPr>
                <w:rFonts w:ascii="Verdana" w:hAnsi="Verdana" w:cs="Arial"/>
              </w:rPr>
              <w:t>ser</w:t>
            </w:r>
            <w:r w:rsidRPr="007766AB">
              <w:rPr>
                <w:rFonts w:ascii="Verdana" w:hAnsi="Verdana" w:cs="Arial"/>
                <w:spacing w:val="17"/>
              </w:rPr>
              <w:t xml:space="preserve"> </w:t>
            </w:r>
            <w:r w:rsidRPr="007766AB">
              <w:rPr>
                <w:rFonts w:ascii="Verdana" w:hAnsi="Verdana" w:cs="Arial"/>
              </w:rPr>
              <w:lastRenderedPageBreak/>
              <w:t>integralmente</w:t>
            </w:r>
            <w:r w:rsidRPr="007766AB">
              <w:rPr>
                <w:rFonts w:ascii="Verdana" w:hAnsi="Verdana" w:cs="Arial"/>
                <w:spacing w:val="16"/>
              </w:rPr>
              <w:t xml:space="preserve"> </w:t>
            </w:r>
            <w:r w:rsidRPr="007766AB">
              <w:rPr>
                <w:rFonts w:ascii="Verdana" w:hAnsi="Verdana" w:cs="Arial"/>
              </w:rPr>
              <w:t>devolvidos</w:t>
            </w:r>
            <w:r w:rsidRPr="007766AB">
              <w:rPr>
                <w:rFonts w:ascii="Verdana" w:hAnsi="Verdana" w:cs="Arial"/>
                <w:spacing w:val="18"/>
              </w:rPr>
              <w:t xml:space="preserve"> </w:t>
            </w:r>
            <w:r w:rsidRPr="007766AB">
              <w:rPr>
                <w:rFonts w:ascii="Verdana" w:hAnsi="Verdana" w:cs="Arial"/>
              </w:rPr>
              <w:t>pelo</w:t>
            </w:r>
            <w:r w:rsidRPr="007766AB">
              <w:rPr>
                <w:rFonts w:ascii="Verdana" w:hAnsi="Verdana" w:cs="Arial"/>
                <w:spacing w:val="16"/>
              </w:rPr>
              <w:t xml:space="preserve"> </w:t>
            </w:r>
            <w:r w:rsidRPr="007766AB">
              <w:rPr>
                <w:rFonts w:ascii="Verdana" w:hAnsi="Verdana" w:cs="Arial"/>
              </w:rPr>
              <w:t>Coordenador</w:t>
            </w:r>
            <w:r w:rsidRPr="007766AB">
              <w:rPr>
                <w:rFonts w:ascii="Verdana" w:hAnsi="Verdana" w:cs="Arial"/>
                <w:spacing w:val="24"/>
              </w:rPr>
              <w:t xml:space="preserve"> </w:t>
            </w:r>
            <w:r w:rsidRPr="007766AB">
              <w:rPr>
                <w:rFonts w:ascii="Verdana" w:hAnsi="Verdana" w:cs="Arial"/>
              </w:rPr>
              <w:t>da Oferta,</w:t>
            </w:r>
            <w:r w:rsidRPr="007766AB">
              <w:rPr>
                <w:rFonts w:ascii="Verdana" w:hAnsi="Verdana" w:cs="Arial"/>
                <w:spacing w:val="16"/>
              </w:rPr>
              <w:t xml:space="preserve"> </w:t>
            </w:r>
            <w:r w:rsidRPr="007766AB">
              <w:rPr>
                <w:rFonts w:ascii="Verdana" w:hAnsi="Verdana" w:cs="Arial"/>
              </w:rPr>
              <w:t>sem</w:t>
            </w:r>
            <w:r w:rsidRPr="007766AB">
              <w:rPr>
                <w:rFonts w:ascii="Verdana" w:hAnsi="Verdana" w:cs="Arial"/>
                <w:spacing w:val="16"/>
              </w:rPr>
              <w:t xml:space="preserve"> </w:t>
            </w:r>
            <w:r w:rsidRPr="007766AB">
              <w:rPr>
                <w:rFonts w:ascii="Verdana" w:hAnsi="Verdana" w:cs="Arial"/>
              </w:rPr>
              <w:t>qualquer</w:t>
            </w:r>
            <w:r w:rsidRPr="007766AB">
              <w:rPr>
                <w:rFonts w:ascii="Verdana" w:hAnsi="Verdana" w:cs="Arial"/>
                <w:spacing w:val="17"/>
              </w:rPr>
              <w:t xml:space="preserve"> </w:t>
            </w:r>
            <w:r w:rsidRPr="007766AB">
              <w:rPr>
                <w:rFonts w:ascii="Verdana" w:hAnsi="Verdana" w:cs="Arial"/>
              </w:rPr>
              <w:t>remuneração,</w:t>
            </w:r>
            <w:r w:rsidRPr="007766AB">
              <w:rPr>
                <w:rFonts w:ascii="Verdana" w:hAnsi="Verdana" w:cs="Arial"/>
                <w:spacing w:val="19"/>
              </w:rPr>
              <w:t xml:space="preserve"> </w:t>
            </w:r>
            <w:r w:rsidRPr="007766AB">
              <w:rPr>
                <w:rFonts w:ascii="Verdana" w:hAnsi="Verdana" w:cs="Arial"/>
              </w:rPr>
              <w:t>juros</w:t>
            </w:r>
            <w:r w:rsidRPr="007766AB">
              <w:rPr>
                <w:rFonts w:ascii="Verdana" w:hAnsi="Verdana" w:cs="Arial"/>
                <w:spacing w:val="18"/>
              </w:rPr>
              <w:t xml:space="preserve"> </w:t>
            </w:r>
            <w:r w:rsidRPr="007766AB">
              <w:rPr>
                <w:rFonts w:ascii="Verdana" w:hAnsi="Verdana" w:cs="Arial"/>
              </w:rPr>
              <w:t>ou correção</w:t>
            </w:r>
            <w:r w:rsidRPr="007766AB">
              <w:rPr>
                <w:rFonts w:ascii="Verdana" w:hAnsi="Verdana" w:cs="Arial"/>
                <w:spacing w:val="-4"/>
              </w:rPr>
              <w:t xml:space="preserve"> </w:t>
            </w:r>
            <w:r w:rsidRPr="007766AB">
              <w:rPr>
                <w:rFonts w:ascii="Verdana" w:hAnsi="Verdana" w:cs="Arial"/>
              </w:rPr>
              <w:t>monetária,</w:t>
            </w:r>
            <w:r w:rsidRPr="007766AB">
              <w:rPr>
                <w:rFonts w:ascii="Verdana" w:hAnsi="Verdana" w:cs="Arial"/>
                <w:spacing w:val="-3"/>
              </w:rPr>
              <w:t xml:space="preserve"> </w:t>
            </w:r>
            <w:r w:rsidRPr="007766AB">
              <w:rPr>
                <w:rFonts w:ascii="Verdana" w:hAnsi="Verdana" w:cs="Arial"/>
              </w:rPr>
              <w:t>sem</w:t>
            </w:r>
            <w:r w:rsidRPr="007766AB">
              <w:rPr>
                <w:rFonts w:ascii="Verdana" w:hAnsi="Verdana" w:cs="Arial"/>
                <w:spacing w:val="-3"/>
              </w:rPr>
              <w:t xml:space="preserve"> </w:t>
            </w:r>
            <w:r w:rsidRPr="007766AB">
              <w:rPr>
                <w:rFonts w:ascii="Verdana" w:hAnsi="Verdana" w:cs="Arial"/>
              </w:rPr>
              <w:t>reembolso</w:t>
            </w:r>
            <w:r w:rsidRPr="007766AB">
              <w:rPr>
                <w:rFonts w:ascii="Verdana" w:hAnsi="Verdana" w:cs="Arial"/>
                <w:spacing w:val="-3"/>
              </w:rPr>
              <w:t xml:space="preserve"> </w:t>
            </w:r>
            <w:r w:rsidRPr="007766AB">
              <w:rPr>
                <w:rFonts w:ascii="Verdana" w:hAnsi="Verdana" w:cs="Arial"/>
              </w:rPr>
              <w:t>de</w:t>
            </w:r>
            <w:r w:rsidRPr="007766AB">
              <w:rPr>
                <w:rFonts w:ascii="Verdana" w:hAnsi="Verdana" w:cs="Arial"/>
                <w:spacing w:val="-3"/>
              </w:rPr>
              <w:t xml:space="preserve"> </w:t>
            </w:r>
            <w:r w:rsidRPr="007766AB">
              <w:rPr>
                <w:rFonts w:ascii="Verdana" w:hAnsi="Verdana" w:cs="Arial"/>
              </w:rPr>
              <w:t>custos</w:t>
            </w:r>
            <w:r w:rsidRPr="007766AB">
              <w:rPr>
                <w:rFonts w:ascii="Verdana" w:hAnsi="Verdana" w:cs="Arial"/>
                <w:spacing w:val="-2"/>
              </w:rPr>
              <w:t xml:space="preserve"> </w:t>
            </w:r>
            <w:r w:rsidRPr="007766AB">
              <w:rPr>
                <w:rFonts w:ascii="Verdana" w:hAnsi="Verdana" w:cs="Arial"/>
              </w:rPr>
              <w:t>incorridos</w:t>
            </w:r>
            <w:r w:rsidRPr="007766AB">
              <w:rPr>
                <w:rFonts w:ascii="Verdana" w:hAnsi="Verdana" w:cs="Arial"/>
                <w:spacing w:val="-2"/>
              </w:rPr>
              <w:t xml:space="preserve"> </w:t>
            </w:r>
            <w:r w:rsidRPr="007766AB">
              <w:rPr>
                <w:rFonts w:ascii="Verdana" w:hAnsi="Verdana" w:cs="Arial"/>
              </w:rPr>
              <w:t>e</w:t>
            </w:r>
            <w:r w:rsidRPr="007766AB">
              <w:rPr>
                <w:rFonts w:ascii="Verdana" w:hAnsi="Verdana" w:cs="Arial"/>
                <w:spacing w:val="-4"/>
              </w:rPr>
              <w:t xml:space="preserve"> </w:t>
            </w:r>
            <w:r w:rsidRPr="007766AB">
              <w:rPr>
                <w:rFonts w:ascii="Verdana" w:hAnsi="Verdana" w:cs="Arial"/>
              </w:rPr>
              <w:t>com</w:t>
            </w:r>
            <w:r w:rsidRPr="007766AB">
              <w:rPr>
                <w:rFonts w:ascii="Verdana" w:hAnsi="Verdana" w:cs="Arial"/>
                <w:spacing w:val="-3"/>
              </w:rPr>
              <w:t xml:space="preserve"> </w:t>
            </w:r>
            <w:r w:rsidRPr="007766AB">
              <w:rPr>
                <w:rFonts w:ascii="Verdana" w:hAnsi="Verdana" w:cs="Arial"/>
              </w:rPr>
              <w:t>dedução,</w:t>
            </w:r>
            <w:r w:rsidRPr="007766AB">
              <w:rPr>
                <w:rFonts w:ascii="Verdana" w:hAnsi="Verdana" w:cs="Arial"/>
                <w:spacing w:val="-3"/>
              </w:rPr>
              <w:t xml:space="preserve"> </w:t>
            </w:r>
            <w:r w:rsidRPr="007766AB">
              <w:rPr>
                <w:rFonts w:ascii="Verdana" w:hAnsi="Verdana" w:cs="Arial"/>
              </w:rPr>
              <w:t>se</w:t>
            </w:r>
            <w:r w:rsidRPr="007766AB">
              <w:rPr>
                <w:rFonts w:ascii="Verdana" w:hAnsi="Verdana" w:cs="Arial"/>
                <w:spacing w:val="-3"/>
              </w:rPr>
              <w:t xml:space="preserve"> </w:t>
            </w:r>
            <w:r w:rsidRPr="007766AB">
              <w:rPr>
                <w:rFonts w:ascii="Verdana" w:hAnsi="Verdana" w:cs="Arial"/>
              </w:rPr>
              <w:t>for</w:t>
            </w:r>
            <w:r w:rsidRPr="007766AB">
              <w:rPr>
                <w:rFonts w:ascii="Verdana" w:hAnsi="Verdana" w:cs="Arial"/>
                <w:spacing w:val="-3"/>
              </w:rPr>
              <w:t xml:space="preserve"> </w:t>
            </w:r>
            <w:r w:rsidRPr="007766AB">
              <w:rPr>
                <w:rFonts w:ascii="Verdana" w:hAnsi="Verdana" w:cs="Arial"/>
              </w:rPr>
              <w:t>o</w:t>
            </w:r>
            <w:r w:rsidRPr="007766AB">
              <w:rPr>
                <w:rFonts w:ascii="Verdana" w:hAnsi="Verdana" w:cs="Arial"/>
                <w:spacing w:val="-1"/>
              </w:rPr>
              <w:t xml:space="preserve"> </w:t>
            </w:r>
            <w:r w:rsidRPr="007766AB">
              <w:rPr>
                <w:rFonts w:ascii="Verdana" w:hAnsi="Verdana" w:cs="Arial"/>
              </w:rPr>
              <w:t>caso,</w:t>
            </w:r>
            <w:r w:rsidRPr="007766AB">
              <w:rPr>
                <w:rFonts w:ascii="Verdana" w:hAnsi="Verdana" w:cs="Arial"/>
                <w:spacing w:val="-3"/>
              </w:rPr>
              <w:t xml:space="preserve"> </w:t>
            </w:r>
            <w:r w:rsidRPr="007766AB">
              <w:rPr>
                <w:rFonts w:ascii="Verdana" w:hAnsi="Verdana" w:cs="Arial"/>
              </w:rPr>
              <w:t>de</w:t>
            </w:r>
            <w:r w:rsidRPr="007766AB">
              <w:rPr>
                <w:rFonts w:ascii="Verdana" w:hAnsi="Verdana" w:cs="Arial"/>
                <w:spacing w:val="-4"/>
              </w:rPr>
              <w:t xml:space="preserve"> </w:t>
            </w:r>
            <w:r w:rsidRPr="007766AB">
              <w:rPr>
                <w:rFonts w:ascii="Verdana" w:hAnsi="Verdana" w:cs="Arial"/>
              </w:rPr>
              <w:t>quaisquer</w:t>
            </w:r>
            <w:r w:rsidRPr="007766AB">
              <w:rPr>
                <w:rFonts w:ascii="Verdana" w:hAnsi="Verdana" w:cs="Arial"/>
                <w:spacing w:val="-3"/>
              </w:rPr>
              <w:t xml:space="preserve"> </w:t>
            </w:r>
            <w:r w:rsidRPr="007766AB">
              <w:rPr>
                <w:rFonts w:ascii="Verdana" w:hAnsi="Verdana" w:cs="Arial"/>
              </w:rPr>
              <w:t>tributos</w:t>
            </w:r>
            <w:r w:rsidRPr="007766AB">
              <w:rPr>
                <w:rFonts w:ascii="Verdana" w:hAnsi="Verdana" w:cs="Arial"/>
                <w:spacing w:val="-2"/>
              </w:rPr>
              <w:t xml:space="preserve"> </w:t>
            </w:r>
            <w:r w:rsidRPr="007766AB">
              <w:rPr>
                <w:rFonts w:ascii="Verdana" w:hAnsi="Verdana" w:cs="Arial"/>
              </w:rPr>
              <w:t>ou</w:t>
            </w:r>
            <w:r w:rsidRPr="007766AB">
              <w:rPr>
                <w:rFonts w:ascii="Verdana" w:hAnsi="Verdana" w:cs="Arial"/>
                <w:spacing w:val="-4"/>
              </w:rPr>
              <w:t xml:space="preserve"> </w:t>
            </w:r>
            <w:r w:rsidRPr="007766AB">
              <w:rPr>
                <w:rFonts w:ascii="Verdana" w:hAnsi="Verdana" w:cs="Arial"/>
              </w:rPr>
              <w:t>taxas (incluindo, sem limitação, quaisquer tributos sobre movimentação financeira aplicáveis, sobre os valores pagos em função do IOF/Câmbio e quaisquer outros tributos que venham a ser criados, bem como aqueles cuja alíquota for superior a zero ou cuja alíquota atual venha a ser majorada) eventualmente incidentes, no prazo máximo de 3 Dias Úteis (conforme definido abaixo) contados da data de divulgação do fato relevante comunicando o cancelamento da Oferta</w:t>
            </w:r>
            <w:r w:rsidR="00D81D3D" w:rsidRPr="007766AB">
              <w:rPr>
                <w:rFonts w:ascii="Verdana" w:eastAsiaTheme="minorHAnsi" w:hAnsi="Verdana" w:cs="Arial"/>
                <w:lang w:eastAsia="en-GB"/>
              </w:rPr>
              <w:t>.</w:t>
            </w:r>
          </w:p>
        </w:tc>
        <w:tc>
          <w:tcPr>
            <w:tcW w:w="5168" w:type="dxa"/>
          </w:tcPr>
          <w:p w14:paraId="17C7ED38" w14:textId="4DE8B543" w:rsidR="00D81D3D" w:rsidRPr="007766AB" w:rsidRDefault="007766AB" w:rsidP="00C07A1B">
            <w:pPr>
              <w:pStyle w:val="Corpodetexto"/>
              <w:tabs>
                <w:tab w:val="left" w:pos="0"/>
                <w:tab w:val="left" w:pos="817"/>
              </w:tabs>
              <w:spacing w:line="320" w:lineRule="exact"/>
              <w:jc w:val="both"/>
              <w:rPr>
                <w:rFonts w:ascii="Verdana" w:eastAsiaTheme="minorHAnsi" w:hAnsi="Verdana" w:cs="Arial"/>
                <w:lang w:val="en-US"/>
              </w:rPr>
            </w:pPr>
            <w:r w:rsidRPr="008A1F8B">
              <w:rPr>
                <w:rFonts w:ascii="Verdana" w:hAnsi="Verdana" w:cs="Arial"/>
                <w:lang w:val="en-US"/>
              </w:rPr>
              <w:lastRenderedPageBreak/>
              <w:t>Pursuant to Articles 73 and 74 of CVM Resolution 160, the partial distribution of Shares within the scope of the Offering will be allowed, provided that the minimum quantity of 2,689,082,993,565,000 Shares is observed (which amount will become 35,854,439,914,200 Shares after the Reverse Split) ("</w:t>
            </w:r>
            <w:r w:rsidRPr="008A1F8B">
              <w:rPr>
                <w:rFonts w:ascii="Verdana" w:hAnsi="Verdana" w:cs="Arial"/>
                <w:b/>
                <w:bCs/>
                <w:lang w:val="en-US"/>
              </w:rPr>
              <w:t>Minimum Number of Shares</w:t>
            </w:r>
            <w:r w:rsidRPr="008A1F8B">
              <w:rPr>
                <w:rFonts w:ascii="Verdana" w:hAnsi="Verdana" w:cs="Arial"/>
                <w:lang w:val="en-US"/>
              </w:rPr>
              <w:t xml:space="preserve">"), subject to the provisions of this Material Fact. </w:t>
            </w:r>
            <w:r w:rsidRPr="008A1F8B">
              <w:rPr>
                <w:rFonts w:ascii="Verdana" w:hAnsi="Verdana" w:cs="Arial"/>
                <w:b/>
                <w:bCs/>
                <w:lang w:val="en-US"/>
              </w:rPr>
              <w:t xml:space="preserve">If the partial distribution is verified, there will be no deadline for withdrawal or modification of the Priority Subscription Requests and the orders of Professional Investors. </w:t>
            </w:r>
            <w:r w:rsidRPr="008A1F8B">
              <w:rPr>
                <w:rFonts w:ascii="Verdana" w:hAnsi="Verdana" w:cs="Arial"/>
                <w:lang w:val="en-US"/>
              </w:rPr>
              <w:t xml:space="preserve">Thus, if there is no demand for the subscription of the Minimum Number of Shares by the Shareholders and/or Professional Investors by the date of completion of the Allocation Procedure, under the terms of the Placement Agreement, the Offer will be canceled, and all Requests for Priority Subscription and all investment intentions of the Shareholders and/or Professional Investors will be  as the case may be, automatically canceled. In this case, any amounts deposited by the Shareholders and/or Professional Investors, as the case may be, shall be returned in full by the Offer Coordinator, </w:t>
            </w:r>
            <w:r w:rsidRPr="008A1F8B">
              <w:rPr>
                <w:rFonts w:ascii="Verdana" w:hAnsi="Verdana" w:cs="Arial"/>
                <w:lang w:val="en-US"/>
              </w:rPr>
              <w:lastRenderedPageBreak/>
              <w:t>without any remuneration, interest or monetary adjustment, without reimbursement of costs incurred and with deduction, if applicable, of any taxes or fees (including, without limitation, any applicable taxes on financial transactions,  on the amounts paid as a result of the IOF/Exchange and any other taxes that may be created, as well as those whose rate is higher than zero or whose current rate may be increased) eventually incurred, within a maximum period of 3 Business Days (as defined below) counted from the date of disclosure of the material fact communicating the cancellation of the Offer</w:t>
            </w:r>
            <w:r w:rsidR="00D81D3D" w:rsidRPr="007766AB">
              <w:rPr>
                <w:rFonts w:ascii="Verdana" w:eastAsiaTheme="minorHAnsi" w:hAnsi="Verdana" w:cs="Arial"/>
                <w:lang w:val="en-US"/>
              </w:rPr>
              <w:t xml:space="preserve">. </w:t>
            </w:r>
          </w:p>
        </w:tc>
      </w:tr>
      <w:tr w:rsidR="00C07A1B" w:rsidRPr="00016DC5" w14:paraId="57342D61" w14:textId="77777777" w:rsidTr="00BE12AD">
        <w:trPr>
          <w:trHeight w:val="20"/>
          <w:jc w:val="center"/>
        </w:trPr>
        <w:tc>
          <w:tcPr>
            <w:tcW w:w="5382" w:type="dxa"/>
          </w:tcPr>
          <w:p w14:paraId="1D423C11" w14:textId="77777777" w:rsidR="00C07A1B" w:rsidRPr="00295D4D" w:rsidRDefault="00C07A1B" w:rsidP="00D81D3D">
            <w:pPr>
              <w:pStyle w:val="Corpodetexto"/>
              <w:tabs>
                <w:tab w:val="left" w:pos="0"/>
                <w:tab w:val="left" w:pos="817"/>
              </w:tabs>
              <w:spacing w:line="320" w:lineRule="exact"/>
              <w:jc w:val="both"/>
              <w:rPr>
                <w:rFonts w:ascii="Verdana" w:eastAsiaTheme="minorHAnsi" w:hAnsi="Verdana" w:cs="Arial"/>
                <w:b/>
                <w:lang w:val="en-US" w:eastAsia="en-GB"/>
              </w:rPr>
            </w:pPr>
          </w:p>
        </w:tc>
        <w:tc>
          <w:tcPr>
            <w:tcW w:w="5168" w:type="dxa"/>
          </w:tcPr>
          <w:p w14:paraId="1107116D" w14:textId="77777777" w:rsidR="00C07A1B" w:rsidRPr="00295D4D" w:rsidRDefault="00C07A1B" w:rsidP="00D81D3D">
            <w:pPr>
              <w:pStyle w:val="Corpodetexto"/>
              <w:tabs>
                <w:tab w:val="left" w:pos="0"/>
                <w:tab w:val="left" w:pos="817"/>
              </w:tabs>
              <w:spacing w:line="320" w:lineRule="exact"/>
              <w:jc w:val="both"/>
              <w:rPr>
                <w:rFonts w:ascii="Verdana" w:eastAsiaTheme="minorHAnsi" w:hAnsi="Verdana" w:cs="Arial"/>
                <w:b/>
                <w:lang w:val="en-US"/>
              </w:rPr>
            </w:pPr>
          </w:p>
        </w:tc>
      </w:tr>
      <w:tr w:rsidR="00C07A1B" w:rsidRPr="00016DC5" w14:paraId="16E856F7" w14:textId="77777777" w:rsidTr="00BE12AD">
        <w:trPr>
          <w:trHeight w:val="20"/>
          <w:jc w:val="center"/>
        </w:trPr>
        <w:tc>
          <w:tcPr>
            <w:tcW w:w="5382" w:type="dxa"/>
          </w:tcPr>
          <w:p w14:paraId="66FE18AC" w14:textId="1C53BE51" w:rsidR="00C07A1B" w:rsidRPr="007766AB" w:rsidRDefault="007766AB" w:rsidP="00D81D3D">
            <w:pPr>
              <w:pStyle w:val="Corpodetexto"/>
              <w:tabs>
                <w:tab w:val="left" w:pos="0"/>
                <w:tab w:val="left" w:pos="817"/>
              </w:tabs>
              <w:spacing w:line="320" w:lineRule="exact"/>
              <w:jc w:val="both"/>
              <w:rPr>
                <w:rFonts w:ascii="Verdana" w:eastAsiaTheme="minorHAnsi" w:hAnsi="Verdana" w:cs="Arial"/>
                <w:b/>
                <w:lang w:eastAsia="en-GB"/>
              </w:rPr>
            </w:pPr>
            <w:r w:rsidRPr="007766AB">
              <w:rPr>
                <w:rFonts w:ascii="Verdana" w:hAnsi="Verdana" w:cs="Arial"/>
              </w:rPr>
              <w:t>Tendo em vista a possibilidade de distribuição parcial, nos termos do artigo 74 da Resolução CVM 160, os Acionistas poderão, nos respectivos Pedidos de Subscrição Prioritária, condicionar a sua adesão a uma das seguintes hipóteses</w:t>
            </w:r>
            <w:r w:rsidR="00C07A1B" w:rsidRPr="007766AB">
              <w:rPr>
                <w:rFonts w:ascii="Verdana" w:eastAsiaTheme="minorHAnsi" w:hAnsi="Verdana" w:cs="Arial"/>
                <w:lang w:eastAsia="en-GB"/>
              </w:rPr>
              <w:t>:</w:t>
            </w:r>
          </w:p>
        </w:tc>
        <w:tc>
          <w:tcPr>
            <w:tcW w:w="5168" w:type="dxa"/>
          </w:tcPr>
          <w:p w14:paraId="3D057F10" w14:textId="05943981" w:rsidR="00C07A1B" w:rsidRPr="007766AB" w:rsidRDefault="007766AB" w:rsidP="00D81D3D">
            <w:pPr>
              <w:pStyle w:val="Corpodetexto"/>
              <w:tabs>
                <w:tab w:val="left" w:pos="0"/>
                <w:tab w:val="left" w:pos="817"/>
              </w:tabs>
              <w:spacing w:line="320" w:lineRule="exact"/>
              <w:jc w:val="both"/>
              <w:rPr>
                <w:rFonts w:ascii="Verdana" w:eastAsiaTheme="minorHAnsi" w:hAnsi="Verdana" w:cs="Arial"/>
                <w:b/>
                <w:lang w:val="en-US"/>
              </w:rPr>
            </w:pPr>
            <w:r w:rsidRPr="008A1F8B">
              <w:rPr>
                <w:rFonts w:ascii="Verdana" w:hAnsi="Verdana" w:cs="Arial"/>
                <w:lang w:val="en-US"/>
              </w:rPr>
              <w:t>In view of the possibility of partial distribution, pursuant to Article 74 of CVM Resolution 160, Shareholders may, in their respective Requests for Priority Subscription, condition their adhesion to one of the following cases</w:t>
            </w:r>
            <w:r w:rsidR="00C07A1B" w:rsidRPr="007766AB">
              <w:rPr>
                <w:rFonts w:ascii="Verdana" w:eastAsiaTheme="minorHAnsi" w:hAnsi="Verdana" w:cs="Arial"/>
                <w:lang w:val="en-US"/>
              </w:rPr>
              <w:t>:</w:t>
            </w:r>
          </w:p>
        </w:tc>
      </w:tr>
      <w:tr w:rsidR="00C07A1B" w:rsidRPr="00016DC5" w14:paraId="7B4A5974" w14:textId="77777777" w:rsidTr="00BE12AD">
        <w:trPr>
          <w:trHeight w:val="20"/>
          <w:jc w:val="center"/>
        </w:trPr>
        <w:tc>
          <w:tcPr>
            <w:tcW w:w="5382" w:type="dxa"/>
          </w:tcPr>
          <w:p w14:paraId="4512E2AB" w14:textId="77777777" w:rsidR="00C07A1B" w:rsidRPr="007766AB" w:rsidRDefault="00C07A1B" w:rsidP="00D81D3D">
            <w:pPr>
              <w:pStyle w:val="Corpodetexto"/>
              <w:tabs>
                <w:tab w:val="left" w:pos="0"/>
                <w:tab w:val="left" w:pos="817"/>
              </w:tabs>
              <w:spacing w:line="320" w:lineRule="exact"/>
              <w:jc w:val="both"/>
              <w:rPr>
                <w:rFonts w:ascii="Verdana" w:eastAsiaTheme="minorHAnsi" w:hAnsi="Verdana" w:cs="Arial"/>
                <w:b/>
                <w:lang w:val="en-US" w:eastAsia="en-GB"/>
              </w:rPr>
            </w:pPr>
          </w:p>
        </w:tc>
        <w:tc>
          <w:tcPr>
            <w:tcW w:w="5168" w:type="dxa"/>
          </w:tcPr>
          <w:p w14:paraId="008EA486" w14:textId="77777777" w:rsidR="00C07A1B" w:rsidRPr="007766AB" w:rsidRDefault="00C07A1B" w:rsidP="00D81D3D">
            <w:pPr>
              <w:pStyle w:val="Corpodetexto"/>
              <w:tabs>
                <w:tab w:val="left" w:pos="0"/>
                <w:tab w:val="left" w:pos="817"/>
              </w:tabs>
              <w:spacing w:line="320" w:lineRule="exact"/>
              <w:jc w:val="both"/>
              <w:rPr>
                <w:rFonts w:ascii="Verdana" w:eastAsiaTheme="minorHAnsi" w:hAnsi="Verdana" w:cs="Arial"/>
                <w:b/>
                <w:lang w:val="en-US"/>
              </w:rPr>
            </w:pPr>
          </w:p>
        </w:tc>
      </w:tr>
      <w:tr w:rsidR="00C07A1B" w:rsidRPr="00016DC5" w14:paraId="474DE644" w14:textId="77777777" w:rsidTr="00BE12AD">
        <w:trPr>
          <w:trHeight w:val="20"/>
          <w:jc w:val="center"/>
        </w:trPr>
        <w:tc>
          <w:tcPr>
            <w:tcW w:w="5382" w:type="dxa"/>
          </w:tcPr>
          <w:p w14:paraId="6A4E9DEB" w14:textId="154AEB76" w:rsidR="00C07A1B" w:rsidRPr="007766AB" w:rsidRDefault="007766AB" w:rsidP="005520B3">
            <w:pPr>
              <w:pStyle w:val="Corpodetexto"/>
              <w:numPr>
                <w:ilvl w:val="0"/>
                <w:numId w:val="32"/>
              </w:numPr>
              <w:tabs>
                <w:tab w:val="left" w:pos="0"/>
                <w:tab w:val="left" w:pos="817"/>
              </w:tabs>
              <w:spacing w:line="320" w:lineRule="exact"/>
              <w:ind w:left="27" w:firstLine="0"/>
              <w:jc w:val="both"/>
              <w:rPr>
                <w:rFonts w:ascii="Verdana" w:eastAsiaTheme="minorHAnsi" w:hAnsi="Verdana" w:cs="Arial"/>
                <w:b/>
                <w:lang w:eastAsia="en-GB"/>
              </w:rPr>
            </w:pPr>
            <w:r w:rsidRPr="007766AB">
              <w:rPr>
                <w:rFonts w:ascii="Verdana" w:hAnsi="Verdana" w:cs="Arial"/>
              </w:rPr>
              <w:t>desde que haja a colocação da totalidade das Ações, sendo que, se tal condição não se implementar e o Acionista já tiver efetuado o depósito do Preço por Cesta de Ações, este deverá ser</w:t>
            </w:r>
            <w:r w:rsidRPr="007766AB">
              <w:rPr>
                <w:rFonts w:ascii="Verdana" w:hAnsi="Verdana" w:cs="Arial"/>
                <w:spacing w:val="17"/>
              </w:rPr>
              <w:t xml:space="preserve"> </w:t>
            </w:r>
            <w:r w:rsidRPr="007766AB">
              <w:rPr>
                <w:rFonts w:ascii="Verdana" w:hAnsi="Verdana" w:cs="Arial"/>
              </w:rPr>
              <w:t>integralmente</w:t>
            </w:r>
            <w:r w:rsidRPr="007766AB">
              <w:rPr>
                <w:rFonts w:ascii="Verdana" w:hAnsi="Verdana" w:cs="Arial"/>
                <w:spacing w:val="16"/>
              </w:rPr>
              <w:t xml:space="preserve"> </w:t>
            </w:r>
            <w:r w:rsidRPr="007766AB">
              <w:rPr>
                <w:rFonts w:ascii="Verdana" w:hAnsi="Verdana" w:cs="Arial"/>
              </w:rPr>
              <w:t>devolvido</w:t>
            </w:r>
            <w:r w:rsidRPr="007766AB">
              <w:rPr>
                <w:rFonts w:ascii="Verdana" w:hAnsi="Verdana" w:cs="Arial"/>
                <w:spacing w:val="18"/>
              </w:rPr>
              <w:t xml:space="preserve"> </w:t>
            </w:r>
            <w:r w:rsidRPr="007766AB">
              <w:rPr>
                <w:rFonts w:ascii="Verdana" w:hAnsi="Verdana" w:cs="Arial"/>
              </w:rPr>
              <w:t>pelo</w:t>
            </w:r>
            <w:r w:rsidRPr="007766AB">
              <w:rPr>
                <w:rFonts w:ascii="Verdana" w:hAnsi="Verdana" w:cs="Arial"/>
                <w:spacing w:val="16"/>
              </w:rPr>
              <w:t xml:space="preserve"> </w:t>
            </w:r>
            <w:r w:rsidRPr="007766AB">
              <w:rPr>
                <w:rFonts w:ascii="Verdana" w:hAnsi="Verdana" w:cs="Arial"/>
              </w:rPr>
              <w:t>Agente de Custódia, com o consequente cancelamento do respectivo Pedido de Subscrição Prioritária</w:t>
            </w:r>
            <w:r w:rsidRPr="007766AB">
              <w:rPr>
                <w:rFonts w:ascii="Verdana" w:hAnsi="Verdana" w:cs="Arial"/>
                <w:spacing w:val="16"/>
              </w:rPr>
              <w:t xml:space="preserve">, </w:t>
            </w:r>
            <w:r w:rsidRPr="007766AB">
              <w:rPr>
                <w:rFonts w:ascii="Verdana" w:hAnsi="Verdana" w:cs="Arial"/>
              </w:rPr>
              <w:t>sem</w:t>
            </w:r>
            <w:r w:rsidRPr="007766AB">
              <w:rPr>
                <w:rFonts w:ascii="Verdana" w:hAnsi="Verdana" w:cs="Arial"/>
                <w:spacing w:val="16"/>
              </w:rPr>
              <w:t xml:space="preserve"> </w:t>
            </w:r>
            <w:r w:rsidRPr="007766AB">
              <w:rPr>
                <w:rFonts w:ascii="Verdana" w:hAnsi="Verdana" w:cs="Arial"/>
              </w:rPr>
              <w:t>qualquer</w:t>
            </w:r>
            <w:r w:rsidRPr="007766AB">
              <w:rPr>
                <w:rFonts w:ascii="Verdana" w:hAnsi="Verdana" w:cs="Arial"/>
                <w:spacing w:val="17"/>
              </w:rPr>
              <w:t xml:space="preserve"> </w:t>
            </w:r>
            <w:r w:rsidRPr="007766AB">
              <w:rPr>
                <w:rFonts w:ascii="Verdana" w:hAnsi="Verdana" w:cs="Arial"/>
              </w:rPr>
              <w:t>remuneração,</w:t>
            </w:r>
            <w:r w:rsidRPr="007766AB">
              <w:rPr>
                <w:rFonts w:ascii="Verdana" w:hAnsi="Verdana" w:cs="Arial"/>
                <w:spacing w:val="19"/>
              </w:rPr>
              <w:t xml:space="preserve"> </w:t>
            </w:r>
            <w:r w:rsidRPr="007766AB">
              <w:rPr>
                <w:rFonts w:ascii="Verdana" w:hAnsi="Verdana" w:cs="Arial"/>
              </w:rPr>
              <w:t>juros</w:t>
            </w:r>
            <w:r w:rsidRPr="007766AB">
              <w:rPr>
                <w:rFonts w:ascii="Verdana" w:hAnsi="Verdana" w:cs="Arial"/>
                <w:spacing w:val="18"/>
              </w:rPr>
              <w:t xml:space="preserve"> </w:t>
            </w:r>
            <w:r w:rsidRPr="007766AB">
              <w:rPr>
                <w:rFonts w:ascii="Verdana" w:hAnsi="Verdana" w:cs="Arial"/>
              </w:rPr>
              <w:t>ou correção</w:t>
            </w:r>
            <w:r w:rsidRPr="007766AB">
              <w:rPr>
                <w:rFonts w:ascii="Verdana" w:hAnsi="Verdana" w:cs="Arial"/>
                <w:spacing w:val="-4"/>
              </w:rPr>
              <w:t xml:space="preserve"> </w:t>
            </w:r>
            <w:r w:rsidRPr="007766AB">
              <w:rPr>
                <w:rFonts w:ascii="Verdana" w:hAnsi="Verdana" w:cs="Arial"/>
              </w:rPr>
              <w:t>monetária,</w:t>
            </w:r>
            <w:r w:rsidRPr="007766AB">
              <w:rPr>
                <w:rFonts w:ascii="Verdana" w:hAnsi="Verdana" w:cs="Arial"/>
                <w:spacing w:val="-3"/>
              </w:rPr>
              <w:t xml:space="preserve"> </w:t>
            </w:r>
            <w:r w:rsidRPr="007766AB">
              <w:rPr>
                <w:rFonts w:ascii="Verdana" w:hAnsi="Verdana" w:cs="Arial"/>
              </w:rPr>
              <w:t>sem</w:t>
            </w:r>
            <w:r w:rsidRPr="007766AB">
              <w:rPr>
                <w:rFonts w:ascii="Verdana" w:hAnsi="Verdana" w:cs="Arial"/>
                <w:spacing w:val="-3"/>
              </w:rPr>
              <w:t xml:space="preserve"> </w:t>
            </w:r>
            <w:r w:rsidRPr="007766AB">
              <w:rPr>
                <w:rFonts w:ascii="Verdana" w:hAnsi="Verdana" w:cs="Arial"/>
              </w:rPr>
              <w:t>reembolso</w:t>
            </w:r>
            <w:r w:rsidRPr="007766AB">
              <w:rPr>
                <w:rFonts w:ascii="Verdana" w:hAnsi="Verdana" w:cs="Arial"/>
                <w:spacing w:val="-3"/>
              </w:rPr>
              <w:t xml:space="preserve"> </w:t>
            </w:r>
            <w:r w:rsidRPr="007766AB">
              <w:rPr>
                <w:rFonts w:ascii="Verdana" w:hAnsi="Verdana" w:cs="Arial"/>
              </w:rPr>
              <w:t>de</w:t>
            </w:r>
            <w:r w:rsidRPr="007766AB">
              <w:rPr>
                <w:rFonts w:ascii="Verdana" w:hAnsi="Verdana" w:cs="Arial"/>
                <w:spacing w:val="-3"/>
              </w:rPr>
              <w:t xml:space="preserve"> </w:t>
            </w:r>
            <w:r w:rsidRPr="007766AB">
              <w:rPr>
                <w:rFonts w:ascii="Verdana" w:hAnsi="Verdana" w:cs="Arial"/>
              </w:rPr>
              <w:t>custos</w:t>
            </w:r>
            <w:r w:rsidRPr="007766AB">
              <w:rPr>
                <w:rFonts w:ascii="Verdana" w:hAnsi="Verdana" w:cs="Arial"/>
                <w:spacing w:val="-2"/>
              </w:rPr>
              <w:t xml:space="preserve"> </w:t>
            </w:r>
            <w:r w:rsidRPr="007766AB">
              <w:rPr>
                <w:rFonts w:ascii="Verdana" w:hAnsi="Verdana" w:cs="Arial"/>
              </w:rPr>
              <w:t>incorridos</w:t>
            </w:r>
            <w:r w:rsidRPr="007766AB">
              <w:rPr>
                <w:rFonts w:ascii="Verdana" w:hAnsi="Verdana" w:cs="Arial"/>
                <w:spacing w:val="-2"/>
              </w:rPr>
              <w:t xml:space="preserve"> </w:t>
            </w:r>
            <w:r w:rsidRPr="007766AB">
              <w:rPr>
                <w:rFonts w:ascii="Verdana" w:hAnsi="Verdana" w:cs="Arial"/>
              </w:rPr>
              <w:t>e</w:t>
            </w:r>
            <w:r w:rsidRPr="007766AB">
              <w:rPr>
                <w:rFonts w:ascii="Verdana" w:hAnsi="Verdana" w:cs="Arial"/>
                <w:spacing w:val="-4"/>
              </w:rPr>
              <w:t xml:space="preserve"> </w:t>
            </w:r>
            <w:r w:rsidRPr="007766AB">
              <w:rPr>
                <w:rFonts w:ascii="Verdana" w:hAnsi="Verdana" w:cs="Arial"/>
              </w:rPr>
              <w:t>com</w:t>
            </w:r>
            <w:r w:rsidRPr="007766AB">
              <w:rPr>
                <w:rFonts w:ascii="Verdana" w:hAnsi="Verdana" w:cs="Arial"/>
                <w:spacing w:val="-3"/>
              </w:rPr>
              <w:t xml:space="preserve"> </w:t>
            </w:r>
            <w:r w:rsidRPr="007766AB">
              <w:rPr>
                <w:rFonts w:ascii="Verdana" w:hAnsi="Verdana" w:cs="Arial"/>
              </w:rPr>
              <w:t>dedução,</w:t>
            </w:r>
            <w:r w:rsidRPr="007766AB">
              <w:rPr>
                <w:rFonts w:ascii="Verdana" w:hAnsi="Verdana" w:cs="Arial"/>
                <w:spacing w:val="-3"/>
              </w:rPr>
              <w:t xml:space="preserve"> </w:t>
            </w:r>
            <w:r w:rsidRPr="007766AB">
              <w:rPr>
                <w:rFonts w:ascii="Verdana" w:hAnsi="Verdana" w:cs="Arial"/>
              </w:rPr>
              <w:t>se</w:t>
            </w:r>
            <w:r w:rsidRPr="007766AB">
              <w:rPr>
                <w:rFonts w:ascii="Verdana" w:hAnsi="Verdana" w:cs="Arial"/>
                <w:spacing w:val="-3"/>
              </w:rPr>
              <w:t xml:space="preserve"> </w:t>
            </w:r>
            <w:r w:rsidRPr="007766AB">
              <w:rPr>
                <w:rFonts w:ascii="Verdana" w:hAnsi="Verdana" w:cs="Arial"/>
              </w:rPr>
              <w:t>for</w:t>
            </w:r>
            <w:r w:rsidRPr="007766AB">
              <w:rPr>
                <w:rFonts w:ascii="Verdana" w:hAnsi="Verdana" w:cs="Arial"/>
                <w:spacing w:val="-3"/>
              </w:rPr>
              <w:t xml:space="preserve"> </w:t>
            </w:r>
            <w:r w:rsidRPr="007766AB">
              <w:rPr>
                <w:rFonts w:ascii="Verdana" w:hAnsi="Verdana" w:cs="Arial"/>
              </w:rPr>
              <w:t>o</w:t>
            </w:r>
            <w:r w:rsidRPr="007766AB">
              <w:rPr>
                <w:rFonts w:ascii="Verdana" w:hAnsi="Verdana" w:cs="Arial"/>
                <w:spacing w:val="-1"/>
              </w:rPr>
              <w:t xml:space="preserve"> </w:t>
            </w:r>
            <w:r w:rsidRPr="007766AB">
              <w:rPr>
                <w:rFonts w:ascii="Verdana" w:hAnsi="Verdana" w:cs="Arial"/>
              </w:rPr>
              <w:t>caso,</w:t>
            </w:r>
            <w:r w:rsidRPr="007766AB">
              <w:rPr>
                <w:rFonts w:ascii="Verdana" w:hAnsi="Verdana" w:cs="Arial"/>
                <w:spacing w:val="-3"/>
              </w:rPr>
              <w:t xml:space="preserve"> </w:t>
            </w:r>
            <w:r w:rsidRPr="007766AB">
              <w:rPr>
                <w:rFonts w:ascii="Verdana" w:hAnsi="Verdana" w:cs="Arial"/>
              </w:rPr>
              <w:t>de</w:t>
            </w:r>
            <w:r w:rsidRPr="007766AB">
              <w:rPr>
                <w:rFonts w:ascii="Verdana" w:hAnsi="Verdana" w:cs="Arial"/>
                <w:spacing w:val="-4"/>
              </w:rPr>
              <w:t xml:space="preserve"> </w:t>
            </w:r>
            <w:r w:rsidRPr="007766AB">
              <w:rPr>
                <w:rFonts w:ascii="Verdana" w:hAnsi="Verdana" w:cs="Arial"/>
              </w:rPr>
              <w:t>quaisquer</w:t>
            </w:r>
            <w:r w:rsidRPr="007766AB">
              <w:rPr>
                <w:rFonts w:ascii="Verdana" w:hAnsi="Verdana" w:cs="Arial"/>
                <w:spacing w:val="-3"/>
              </w:rPr>
              <w:t xml:space="preserve"> </w:t>
            </w:r>
            <w:r w:rsidRPr="007766AB">
              <w:rPr>
                <w:rFonts w:ascii="Verdana" w:hAnsi="Verdana" w:cs="Arial"/>
              </w:rPr>
              <w:t>tributos</w:t>
            </w:r>
            <w:r w:rsidRPr="007766AB">
              <w:rPr>
                <w:rFonts w:ascii="Verdana" w:hAnsi="Verdana" w:cs="Arial"/>
                <w:spacing w:val="-2"/>
              </w:rPr>
              <w:t xml:space="preserve"> </w:t>
            </w:r>
            <w:r w:rsidRPr="007766AB">
              <w:rPr>
                <w:rFonts w:ascii="Verdana" w:hAnsi="Verdana" w:cs="Arial"/>
              </w:rPr>
              <w:t>ou</w:t>
            </w:r>
            <w:r w:rsidRPr="007766AB">
              <w:rPr>
                <w:rFonts w:ascii="Verdana" w:hAnsi="Verdana" w:cs="Arial"/>
                <w:spacing w:val="-4"/>
              </w:rPr>
              <w:t xml:space="preserve"> </w:t>
            </w:r>
            <w:r w:rsidRPr="007766AB">
              <w:rPr>
                <w:rFonts w:ascii="Verdana" w:hAnsi="Verdana" w:cs="Arial"/>
              </w:rPr>
              <w:t>taxas (incluindo, sem limitação, quaisquer tributos sobre movimentação financeira aplicáveis, sobre os valores pagos em função do IOF/Câmbio e quaisquer outros tributos que venham a ser criados, bem como aqueles cuja alíquota for superior a zero ou cuja alíquota atual venha a ser majorada) eventualmente incidentes, no prazo máximo de 3 Dias Úteis (conforme definido abaixo) contados da data de divulgação do fato relevante comunicando o cancelamento da Oferta</w:t>
            </w:r>
            <w:r w:rsidR="00C07A1B" w:rsidRPr="007766AB">
              <w:rPr>
                <w:rFonts w:ascii="Verdana" w:eastAsiaTheme="minorHAnsi" w:hAnsi="Verdana" w:cs="Arial"/>
                <w:lang w:eastAsia="en-GB"/>
              </w:rPr>
              <w:t>; ou</w:t>
            </w:r>
          </w:p>
        </w:tc>
        <w:tc>
          <w:tcPr>
            <w:tcW w:w="5168" w:type="dxa"/>
          </w:tcPr>
          <w:p w14:paraId="650D38EE" w14:textId="0FA40A9C" w:rsidR="00C07A1B" w:rsidRPr="007766AB" w:rsidRDefault="007766AB" w:rsidP="005520B3">
            <w:pPr>
              <w:pStyle w:val="Corpodetexto"/>
              <w:numPr>
                <w:ilvl w:val="0"/>
                <w:numId w:val="33"/>
              </w:numPr>
              <w:tabs>
                <w:tab w:val="left" w:pos="0"/>
                <w:tab w:val="left" w:pos="817"/>
              </w:tabs>
              <w:spacing w:line="320" w:lineRule="exact"/>
              <w:ind w:left="0" w:firstLine="0"/>
              <w:jc w:val="both"/>
              <w:rPr>
                <w:rFonts w:ascii="Verdana" w:eastAsiaTheme="minorHAnsi" w:hAnsi="Verdana" w:cs="Arial"/>
                <w:lang w:val="en-US"/>
              </w:rPr>
            </w:pPr>
            <w:r w:rsidRPr="008A1F8B">
              <w:rPr>
                <w:rFonts w:ascii="Verdana" w:hAnsi="Verdana" w:cs="Arial"/>
                <w:lang w:val="en-US"/>
              </w:rPr>
              <w:t>provided that all the Shares are placed, and if such condition is not implemented and the Shareholder has already deposited the Price per Basket of Shares, it must be fully returned by the Custody Agent, with the consequent cancellation of the respective Priority Subscription Request, without any remuneration, interest or monetary adjustment,  without reimbursement of costs incurred and with deduction, if applicable, of any taxes or fees (including, without limitation, any applicable taxes on financial transactions, on the amounts paid as a result of the IOF/Exchange and any other taxes that may be created, as well as those whose rate is higher than zero or whose current rate may be increased) that may be levied,  within a maximum period of 3 Business Days (as defined below) from the date of disclosure of the material fact communicating the cancellation of the Offer; or</w:t>
            </w:r>
          </w:p>
        </w:tc>
      </w:tr>
      <w:tr w:rsidR="00C07A1B" w:rsidRPr="00016DC5" w14:paraId="42CF7A85" w14:textId="77777777" w:rsidTr="00BE12AD">
        <w:trPr>
          <w:trHeight w:val="20"/>
          <w:jc w:val="center"/>
        </w:trPr>
        <w:tc>
          <w:tcPr>
            <w:tcW w:w="5382" w:type="dxa"/>
          </w:tcPr>
          <w:p w14:paraId="41D3E114" w14:textId="77777777" w:rsidR="00C07A1B" w:rsidRPr="007766AB" w:rsidRDefault="00C07A1B" w:rsidP="00D81D3D">
            <w:pPr>
              <w:pStyle w:val="Corpodetexto"/>
              <w:tabs>
                <w:tab w:val="left" w:pos="0"/>
                <w:tab w:val="left" w:pos="817"/>
              </w:tabs>
              <w:spacing w:line="320" w:lineRule="exact"/>
              <w:jc w:val="both"/>
              <w:rPr>
                <w:rFonts w:ascii="Verdana" w:eastAsiaTheme="minorHAnsi" w:hAnsi="Verdana" w:cs="Arial"/>
                <w:b/>
                <w:lang w:val="en-US" w:eastAsia="en-GB"/>
              </w:rPr>
            </w:pPr>
          </w:p>
        </w:tc>
        <w:tc>
          <w:tcPr>
            <w:tcW w:w="5168" w:type="dxa"/>
          </w:tcPr>
          <w:p w14:paraId="786E841E" w14:textId="77777777" w:rsidR="00C07A1B" w:rsidRPr="007766AB" w:rsidRDefault="00C07A1B" w:rsidP="00D81D3D">
            <w:pPr>
              <w:pStyle w:val="Corpodetexto"/>
              <w:tabs>
                <w:tab w:val="left" w:pos="0"/>
                <w:tab w:val="left" w:pos="817"/>
              </w:tabs>
              <w:spacing w:line="320" w:lineRule="exact"/>
              <w:jc w:val="both"/>
              <w:rPr>
                <w:rFonts w:ascii="Verdana" w:eastAsiaTheme="minorHAnsi" w:hAnsi="Verdana" w:cs="Arial"/>
                <w:b/>
                <w:lang w:val="en-US"/>
              </w:rPr>
            </w:pPr>
          </w:p>
        </w:tc>
      </w:tr>
      <w:tr w:rsidR="00C07A1B" w:rsidRPr="00016DC5" w14:paraId="183CBBBB" w14:textId="77777777" w:rsidTr="00BE12AD">
        <w:trPr>
          <w:trHeight w:val="20"/>
          <w:jc w:val="center"/>
        </w:trPr>
        <w:tc>
          <w:tcPr>
            <w:tcW w:w="5382" w:type="dxa"/>
          </w:tcPr>
          <w:p w14:paraId="7FD9FFE6" w14:textId="4D7A652C" w:rsidR="00C07A1B" w:rsidRPr="007766AB" w:rsidRDefault="007766AB" w:rsidP="005520B3">
            <w:pPr>
              <w:pStyle w:val="Corpodetexto"/>
              <w:numPr>
                <w:ilvl w:val="0"/>
                <w:numId w:val="32"/>
              </w:numPr>
              <w:tabs>
                <w:tab w:val="left" w:pos="0"/>
                <w:tab w:val="left" w:pos="817"/>
              </w:tabs>
              <w:spacing w:line="320" w:lineRule="exact"/>
              <w:ind w:left="27" w:firstLine="0"/>
              <w:jc w:val="both"/>
              <w:rPr>
                <w:rFonts w:ascii="Verdana" w:eastAsiaTheme="minorHAnsi" w:hAnsi="Verdana" w:cs="Arial"/>
                <w:b/>
                <w:lang w:eastAsia="en-GB"/>
              </w:rPr>
            </w:pPr>
            <w:r w:rsidRPr="007766AB">
              <w:rPr>
                <w:rFonts w:ascii="Verdana" w:hAnsi="Verdana" w:cs="Arial"/>
              </w:rPr>
              <w:t xml:space="preserve">desde que haja a colocação de uma quantidade maior ou igual à Quantidade Mínima de Ações, </w:t>
            </w:r>
            <w:r w:rsidR="00C2728A" w:rsidRPr="00C2728A">
              <w:rPr>
                <w:rFonts w:ascii="Verdana" w:hAnsi="Verdana" w:cs="Arial"/>
              </w:rPr>
              <w:t xml:space="preserve">podendo o Acionista indicar se, implementando-se a condição prevista, pretende receber totalidade das Cestas de </w:t>
            </w:r>
            <w:r w:rsidR="00C2728A" w:rsidRPr="00C2728A">
              <w:rPr>
                <w:rFonts w:ascii="Verdana" w:hAnsi="Verdana" w:cs="Arial"/>
              </w:rPr>
              <w:lastRenderedPageBreak/>
              <w:t xml:space="preserve">Ações indicadas no respectivo Pedido de Subscrição Prioritária (até o limite de subscrição proporcional do referido Acionista) ou quantidade equivalente ao volume máximo indicado por tal Acionista no Pedido de Subscrição Prioritária (até o limite da de subscrição proporcional do referido Acionista) </w:t>
            </w:r>
            <w:r w:rsidRPr="007766AB">
              <w:rPr>
                <w:rFonts w:ascii="Verdana" w:hAnsi="Verdana" w:cs="Arial"/>
              </w:rPr>
              <w:t>multiplicado pela proporção entre a quantidade de Ações efetivamente colocadas e a quantidade de Ações originalmente objeto da Oferta Prioritária, sendo que, se tal condição não se implementar e o Acionista já tiver efetuado o depósito do Preço por Cesta de Ações, este deverá ser</w:t>
            </w:r>
            <w:r w:rsidRPr="007766AB">
              <w:rPr>
                <w:rFonts w:ascii="Verdana" w:hAnsi="Verdana" w:cs="Arial"/>
                <w:spacing w:val="17"/>
              </w:rPr>
              <w:t xml:space="preserve"> </w:t>
            </w:r>
            <w:r w:rsidRPr="007766AB">
              <w:rPr>
                <w:rFonts w:ascii="Verdana" w:hAnsi="Verdana" w:cs="Arial"/>
              </w:rPr>
              <w:t>integralmente</w:t>
            </w:r>
            <w:r w:rsidRPr="007766AB">
              <w:rPr>
                <w:rFonts w:ascii="Verdana" w:hAnsi="Verdana" w:cs="Arial"/>
                <w:spacing w:val="16"/>
              </w:rPr>
              <w:t xml:space="preserve"> </w:t>
            </w:r>
            <w:r w:rsidRPr="007766AB">
              <w:rPr>
                <w:rFonts w:ascii="Verdana" w:hAnsi="Verdana" w:cs="Arial"/>
              </w:rPr>
              <w:t>devolvido</w:t>
            </w:r>
            <w:r w:rsidRPr="007766AB">
              <w:rPr>
                <w:rFonts w:ascii="Verdana" w:hAnsi="Verdana" w:cs="Arial"/>
                <w:spacing w:val="18"/>
              </w:rPr>
              <w:t xml:space="preserve"> </w:t>
            </w:r>
            <w:r w:rsidRPr="007766AB">
              <w:rPr>
                <w:rFonts w:ascii="Verdana" w:hAnsi="Verdana" w:cs="Arial"/>
              </w:rPr>
              <w:t>pelo</w:t>
            </w:r>
            <w:r w:rsidRPr="007766AB">
              <w:rPr>
                <w:rFonts w:ascii="Verdana" w:hAnsi="Verdana" w:cs="Arial"/>
                <w:spacing w:val="16"/>
              </w:rPr>
              <w:t xml:space="preserve"> </w:t>
            </w:r>
            <w:r w:rsidRPr="007766AB">
              <w:rPr>
                <w:rFonts w:ascii="Verdana" w:hAnsi="Verdana" w:cs="Arial"/>
              </w:rPr>
              <w:t>Agente de Custódia, com o consequente cancelamento do respectivo Pedido de Subscrição Prioritária</w:t>
            </w:r>
            <w:r w:rsidRPr="007766AB">
              <w:rPr>
                <w:rFonts w:ascii="Verdana" w:hAnsi="Verdana" w:cs="Arial"/>
                <w:spacing w:val="16"/>
              </w:rPr>
              <w:t xml:space="preserve">, </w:t>
            </w:r>
            <w:r w:rsidRPr="007766AB">
              <w:rPr>
                <w:rFonts w:ascii="Verdana" w:hAnsi="Verdana" w:cs="Arial"/>
              </w:rPr>
              <w:t>sem</w:t>
            </w:r>
            <w:r w:rsidRPr="007766AB">
              <w:rPr>
                <w:rFonts w:ascii="Verdana" w:hAnsi="Verdana" w:cs="Arial"/>
                <w:spacing w:val="16"/>
              </w:rPr>
              <w:t xml:space="preserve"> </w:t>
            </w:r>
            <w:r w:rsidRPr="007766AB">
              <w:rPr>
                <w:rFonts w:ascii="Verdana" w:hAnsi="Verdana" w:cs="Arial"/>
              </w:rPr>
              <w:t>qualquer</w:t>
            </w:r>
            <w:r w:rsidRPr="007766AB">
              <w:rPr>
                <w:rFonts w:ascii="Verdana" w:hAnsi="Verdana" w:cs="Arial"/>
                <w:spacing w:val="17"/>
              </w:rPr>
              <w:t xml:space="preserve"> </w:t>
            </w:r>
            <w:r w:rsidRPr="007766AB">
              <w:rPr>
                <w:rFonts w:ascii="Verdana" w:hAnsi="Verdana" w:cs="Arial"/>
              </w:rPr>
              <w:t>remuneração,</w:t>
            </w:r>
            <w:r w:rsidRPr="007766AB">
              <w:rPr>
                <w:rFonts w:ascii="Verdana" w:hAnsi="Verdana" w:cs="Arial"/>
                <w:spacing w:val="19"/>
              </w:rPr>
              <w:t xml:space="preserve"> </w:t>
            </w:r>
            <w:r w:rsidRPr="007766AB">
              <w:rPr>
                <w:rFonts w:ascii="Verdana" w:hAnsi="Verdana" w:cs="Arial"/>
              </w:rPr>
              <w:t>juros</w:t>
            </w:r>
            <w:r w:rsidRPr="007766AB">
              <w:rPr>
                <w:rFonts w:ascii="Verdana" w:hAnsi="Verdana" w:cs="Arial"/>
                <w:spacing w:val="18"/>
              </w:rPr>
              <w:t xml:space="preserve"> </w:t>
            </w:r>
            <w:r w:rsidRPr="007766AB">
              <w:rPr>
                <w:rFonts w:ascii="Verdana" w:hAnsi="Verdana" w:cs="Arial"/>
              </w:rPr>
              <w:t>ou correção</w:t>
            </w:r>
            <w:r w:rsidRPr="007766AB">
              <w:rPr>
                <w:rFonts w:ascii="Verdana" w:hAnsi="Verdana" w:cs="Arial"/>
                <w:spacing w:val="-4"/>
              </w:rPr>
              <w:t xml:space="preserve"> </w:t>
            </w:r>
            <w:r w:rsidRPr="007766AB">
              <w:rPr>
                <w:rFonts w:ascii="Verdana" w:hAnsi="Verdana" w:cs="Arial"/>
              </w:rPr>
              <w:t>monetária,</w:t>
            </w:r>
            <w:r w:rsidRPr="007766AB">
              <w:rPr>
                <w:rFonts w:ascii="Verdana" w:hAnsi="Verdana" w:cs="Arial"/>
                <w:spacing w:val="-3"/>
              </w:rPr>
              <w:t xml:space="preserve"> </w:t>
            </w:r>
            <w:r w:rsidRPr="007766AB">
              <w:rPr>
                <w:rFonts w:ascii="Verdana" w:hAnsi="Verdana" w:cs="Arial"/>
              </w:rPr>
              <w:t>sem</w:t>
            </w:r>
            <w:r w:rsidRPr="007766AB">
              <w:rPr>
                <w:rFonts w:ascii="Verdana" w:hAnsi="Verdana" w:cs="Arial"/>
                <w:spacing w:val="-3"/>
              </w:rPr>
              <w:t xml:space="preserve"> </w:t>
            </w:r>
            <w:r w:rsidRPr="007766AB">
              <w:rPr>
                <w:rFonts w:ascii="Verdana" w:hAnsi="Verdana" w:cs="Arial"/>
              </w:rPr>
              <w:t>reembolso</w:t>
            </w:r>
            <w:r w:rsidRPr="007766AB">
              <w:rPr>
                <w:rFonts w:ascii="Verdana" w:hAnsi="Verdana" w:cs="Arial"/>
                <w:spacing w:val="-3"/>
              </w:rPr>
              <w:t xml:space="preserve"> </w:t>
            </w:r>
            <w:r w:rsidRPr="007766AB">
              <w:rPr>
                <w:rFonts w:ascii="Verdana" w:hAnsi="Verdana" w:cs="Arial"/>
              </w:rPr>
              <w:t>de</w:t>
            </w:r>
            <w:r w:rsidRPr="007766AB">
              <w:rPr>
                <w:rFonts w:ascii="Verdana" w:hAnsi="Verdana" w:cs="Arial"/>
                <w:spacing w:val="-3"/>
              </w:rPr>
              <w:t xml:space="preserve"> </w:t>
            </w:r>
            <w:r w:rsidRPr="007766AB">
              <w:rPr>
                <w:rFonts w:ascii="Verdana" w:hAnsi="Verdana" w:cs="Arial"/>
              </w:rPr>
              <w:t>custos</w:t>
            </w:r>
            <w:r w:rsidRPr="007766AB">
              <w:rPr>
                <w:rFonts w:ascii="Verdana" w:hAnsi="Verdana" w:cs="Arial"/>
                <w:spacing w:val="-2"/>
              </w:rPr>
              <w:t xml:space="preserve"> </w:t>
            </w:r>
            <w:r w:rsidRPr="007766AB">
              <w:rPr>
                <w:rFonts w:ascii="Verdana" w:hAnsi="Verdana" w:cs="Arial"/>
              </w:rPr>
              <w:t>incorridos</w:t>
            </w:r>
            <w:r w:rsidRPr="007766AB">
              <w:rPr>
                <w:rFonts w:ascii="Verdana" w:hAnsi="Verdana" w:cs="Arial"/>
                <w:spacing w:val="-2"/>
              </w:rPr>
              <w:t xml:space="preserve"> </w:t>
            </w:r>
            <w:r w:rsidRPr="007766AB">
              <w:rPr>
                <w:rFonts w:ascii="Verdana" w:hAnsi="Verdana" w:cs="Arial"/>
              </w:rPr>
              <w:t>e</w:t>
            </w:r>
            <w:r w:rsidRPr="007766AB">
              <w:rPr>
                <w:rFonts w:ascii="Verdana" w:hAnsi="Verdana" w:cs="Arial"/>
                <w:spacing w:val="-4"/>
              </w:rPr>
              <w:t xml:space="preserve"> </w:t>
            </w:r>
            <w:r w:rsidRPr="007766AB">
              <w:rPr>
                <w:rFonts w:ascii="Verdana" w:hAnsi="Verdana" w:cs="Arial"/>
              </w:rPr>
              <w:t>com</w:t>
            </w:r>
            <w:r w:rsidRPr="007766AB">
              <w:rPr>
                <w:rFonts w:ascii="Verdana" w:hAnsi="Verdana" w:cs="Arial"/>
                <w:spacing w:val="-3"/>
              </w:rPr>
              <w:t xml:space="preserve"> </w:t>
            </w:r>
            <w:r w:rsidRPr="007766AB">
              <w:rPr>
                <w:rFonts w:ascii="Verdana" w:hAnsi="Verdana" w:cs="Arial"/>
              </w:rPr>
              <w:t>dedução,</w:t>
            </w:r>
            <w:r w:rsidRPr="007766AB">
              <w:rPr>
                <w:rFonts w:ascii="Verdana" w:hAnsi="Verdana" w:cs="Arial"/>
                <w:spacing w:val="-3"/>
              </w:rPr>
              <w:t xml:space="preserve"> </w:t>
            </w:r>
            <w:r w:rsidRPr="007766AB">
              <w:rPr>
                <w:rFonts w:ascii="Verdana" w:hAnsi="Verdana" w:cs="Arial"/>
              </w:rPr>
              <w:t>se</w:t>
            </w:r>
            <w:r w:rsidRPr="007766AB">
              <w:rPr>
                <w:rFonts w:ascii="Verdana" w:hAnsi="Verdana" w:cs="Arial"/>
                <w:spacing w:val="-3"/>
              </w:rPr>
              <w:t xml:space="preserve"> </w:t>
            </w:r>
            <w:r w:rsidRPr="007766AB">
              <w:rPr>
                <w:rFonts w:ascii="Verdana" w:hAnsi="Verdana" w:cs="Arial"/>
              </w:rPr>
              <w:t>for</w:t>
            </w:r>
            <w:r w:rsidRPr="007766AB">
              <w:rPr>
                <w:rFonts w:ascii="Verdana" w:hAnsi="Verdana" w:cs="Arial"/>
                <w:spacing w:val="-3"/>
              </w:rPr>
              <w:t xml:space="preserve"> </w:t>
            </w:r>
            <w:r w:rsidRPr="007766AB">
              <w:rPr>
                <w:rFonts w:ascii="Verdana" w:hAnsi="Verdana" w:cs="Arial"/>
              </w:rPr>
              <w:t>o</w:t>
            </w:r>
            <w:r w:rsidRPr="007766AB">
              <w:rPr>
                <w:rFonts w:ascii="Verdana" w:hAnsi="Verdana" w:cs="Arial"/>
                <w:spacing w:val="-1"/>
              </w:rPr>
              <w:t xml:space="preserve"> </w:t>
            </w:r>
            <w:r w:rsidRPr="007766AB">
              <w:rPr>
                <w:rFonts w:ascii="Verdana" w:hAnsi="Verdana" w:cs="Arial"/>
              </w:rPr>
              <w:t>caso,</w:t>
            </w:r>
            <w:r w:rsidRPr="007766AB">
              <w:rPr>
                <w:rFonts w:ascii="Verdana" w:hAnsi="Verdana" w:cs="Arial"/>
                <w:spacing w:val="-3"/>
              </w:rPr>
              <w:t xml:space="preserve"> </w:t>
            </w:r>
            <w:r w:rsidRPr="007766AB">
              <w:rPr>
                <w:rFonts w:ascii="Verdana" w:hAnsi="Verdana" w:cs="Arial"/>
              </w:rPr>
              <w:t>de</w:t>
            </w:r>
            <w:r w:rsidRPr="007766AB">
              <w:rPr>
                <w:rFonts w:ascii="Verdana" w:hAnsi="Verdana" w:cs="Arial"/>
                <w:spacing w:val="-4"/>
              </w:rPr>
              <w:t xml:space="preserve"> </w:t>
            </w:r>
            <w:r w:rsidRPr="007766AB">
              <w:rPr>
                <w:rFonts w:ascii="Verdana" w:hAnsi="Verdana" w:cs="Arial"/>
              </w:rPr>
              <w:t>quaisquer</w:t>
            </w:r>
            <w:r w:rsidRPr="007766AB">
              <w:rPr>
                <w:rFonts w:ascii="Verdana" w:hAnsi="Verdana" w:cs="Arial"/>
                <w:spacing w:val="-3"/>
              </w:rPr>
              <w:t xml:space="preserve"> </w:t>
            </w:r>
            <w:r w:rsidRPr="007766AB">
              <w:rPr>
                <w:rFonts w:ascii="Verdana" w:hAnsi="Verdana" w:cs="Arial"/>
              </w:rPr>
              <w:t>tributos</w:t>
            </w:r>
            <w:r w:rsidRPr="007766AB">
              <w:rPr>
                <w:rFonts w:ascii="Verdana" w:hAnsi="Verdana" w:cs="Arial"/>
                <w:spacing w:val="-2"/>
              </w:rPr>
              <w:t xml:space="preserve"> </w:t>
            </w:r>
            <w:r w:rsidRPr="007766AB">
              <w:rPr>
                <w:rFonts w:ascii="Verdana" w:hAnsi="Verdana" w:cs="Arial"/>
              </w:rPr>
              <w:t>ou</w:t>
            </w:r>
            <w:r w:rsidRPr="007766AB">
              <w:rPr>
                <w:rFonts w:ascii="Verdana" w:hAnsi="Verdana" w:cs="Arial"/>
                <w:spacing w:val="-4"/>
              </w:rPr>
              <w:t xml:space="preserve"> </w:t>
            </w:r>
            <w:r w:rsidRPr="007766AB">
              <w:rPr>
                <w:rFonts w:ascii="Verdana" w:hAnsi="Verdana" w:cs="Arial"/>
              </w:rPr>
              <w:t>taxas (incluindo, sem limitação, quaisquer tributos sobre movimentação financeira aplicáveis, sobre os valores pagos em função do IOF/Câmbio e quaisquer outros tributos que venham a ser criados, bem como aqueles cuja alíquota for superior a zero ou cuja alíquota atual venha a ser majorada) eventualmente incidentes, no prazo máximo de 3 Dias Úteis (conforme definido abaixo) contados da data de divulgação do fato relevante comunicando o cancelamento da Oferta</w:t>
            </w:r>
            <w:r w:rsidR="00C07A1B" w:rsidRPr="007766AB">
              <w:rPr>
                <w:rFonts w:ascii="Verdana" w:eastAsiaTheme="minorHAnsi" w:hAnsi="Verdana" w:cs="Arial"/>
                <w:lang w:eastAsia="en-GB"/>
              </w:rPr>
              <w:t>.</w:t>
            </w:r>
          </w:p>
        </w:tc>
        <w:tc>
          <w:tcPr>
            <w:tcW w:w="5168" w:type="dxa"/>
          </w:tcPr>
          <w:p w14:paraId="693B0507" w14:textId="0ED64D54" w:rsidR="00C07A1B" w:rsidRPr="007766AB" w:rsidRDefault="007766AB" w:rsidP="005520B3">
            <w:pPr>
              <w:pStyle w:val="Corpodetexto"/>
              <w:numPr>
                <w:ilvl w:val="0"/>
                <w:numId w:val="33"/>
              </w:numPr>
              <w:tabs>
                <w:tab w:val="left" w:pos="0"/>
                <w:tab w:val="left" w:pos="817"/>
              </w:tabs>
              <w:spacing w:line="320" w:lineRule="exact"/>
              <w:ind w:left="0" w:firstLine="0"/>
              <w:jc w:val="both"/>
              <w:rPr>
                <w:rFonts w:ascii="Verdana" w:eastAsiaTheme="minorHAnsi" w:hAnsi="Verdana" w:cs="Arial"/>
                <w:b/>
                <w:lang w:val="en-US"/>
              </w:rPr>
            </w:pPr>
            <w:r w:rsidRPr="008A1F8B">
              <w:rPr>
                <w:rFonts w:ascii="Verdana" w:hAnsi="Verdana" w:cs="Arial"/>
                <w:lang w:val="en-US"/>
              </w:rPr>
              <w:lastRenderedPageBreak/>
              <w:t xml:space="preserve">provided that there is the placement of an amount greater than or equal to the Minimum Number of Shares, in which case the Shareholder </w:t>
            </w:r>
            <w:r w:rsidR="00016DC5">
              <w:rPr>
                <w:rFonts w:ascii="Verdana" w:hAnsi="Verdana" w:cs="Arial"/>
                <w:lang w:val="en-US"/>
              </w:rPr>
              <w:t>could</w:t>
            </w:r>
            <w:r w:rsidR="00C2728A">
              <w:rPr>
                <w:rFonts w:ascii="Verdana" w:hAnsi="Verdana" w:cs="Arial"/>
                <w:lang w:val="en-US"/>
              </w:rPr>
              <w:t xml:space="preserve"> indicate w</w:t>
            </w:r>
            <w:r w:rsidR="00C2728A" w:rsidRPr="00C2728A">
              <w:rPr>
                <w:rFonts w:ascii="Verdana" w:hAnsi="Verdana" w:cs="Arial"/>
                <w:lang w:val="en-US"/>
              </w:rPr>
              <w:t xml:space="preserve">hether, if the condition stipulated is met, </w:t>
            </w:r>
            <w:r w:rsidR="00C2728A">
              <w:rPr>
                <w:rFonts w:ascii="Verdana" w:hAnsi="Verdana" w:cs="Arial"/>
                <w:lang w:val="en-US"/>
              </w:rPr>
              <w:t>it</w:t>
            </w:r>
            <w:r w:rsidR="00C2728A" w:rsidRPr="00C2728A">
              <w:rPr>
                <w:rFonts w:ascii="Verdana" w:hAnsi="Verdana" w:cs="Arial"/>
                <w:lang w:val="en-US"/>
              </w:rPr>
              <w:t xml:space="preserve"> wish</w:t>
            </w:r>
            <w:r w:rsidR="00C2728A">
              <w:rPr>
                <w:rFonts w:ascii="Verdana" w:hAnsi="Verdana" w:cs="Arial"/>
                <w:lang w:val="en-US"/>
              </w:rPr>
              <w:t>es</w:t>
            </w:r>
            <w:r w:rsidR="00C2728A" w:rsidRPr="00C2728A">
              <w:rPr>
                <w:rFonts w:ascii="Verdana" w:hAnsi="Verdana" w:cs="Arial"/>
                <w:lang w:val="en-US"/>
              </w:rPr>
              <w:t xml:space="preserve"> to </w:t>
            </w:r>
            <w:r w:rsidR="00C2728A" w:rsidRPr="00C2728A">
              <w:rPr>
                <w:rFonts w:ascii="Verdana" w:hAnsi="Verdana" w:cs="Arial"/>
                <w:lang w:val="en-US"/>
              </w:rPr>
              <w:lastRenderedPageBreak/>
              <w:t>receive all of the Baskets</w:t>
            </w:r>
            <w:r w:rsidR="00C2728A">
              <w:rPr>
                <w:rFonts w:ascii="Verdana" w:hAnsi="Verdana" w:cs="Arial"/>
                <w:lang w:val="en-US"/>
              </w:rPr>
              <w:t xml:space="preserve"> of Shares</w:t>
            </w:r>
            <w:r w:rsidR="00C2728A" w:rsidRPr="00C2728A">
              <w:rPr>
                <w:rFonts w:ascii="Verdana" w:hAnsi="Verdana" w:cs="Arial"/>
                <w:lang w:val="en-US"/>
              </w:rPr>
              <w:t xml:space="preserve"> indicated in the respective Priority Subscription Request (up to the proportional subscription limit of said Shareholder) or an amount equivalent to the maximum volume indicated by said Shareholder in the Priority Subscription Request (up to the proportional subscription limit of said Shareholder)</w:t>
            </w:r>
            <w:r w:rsidRPr="008A1F8B">
              <w:rPr>
                <w:rFonts w:ascii="Verdana" w:hAnsi="Verdana" w:cs="Arial"/>
                <w:lang w:val="en-US"/>
              </w:rPr>
              <w:t xml:space="preserve"> multiplied by the proportion between the number of Shares effectively placed and the number of Shares originally subject to the Priority Offer, and if such condition is not implemented and the Shareholder has already deposited the Price per Basket of Shares, it must be fully returned by the Custody Agent, with the consequent cancellation of the respective Priority Subscription Request, without any remuneration, interest or monetary adjustment, without reimbursement of costs incurred and with deduction,  if applicable, any taxes or fees (including, without limitation, any applicable taxes on financial transactions, on the amounts paid as a result of the IOF/Exchange and any other taxes that may be created, as well as those whose rate is higher than zero or whose current rate may be increased) that may be levied, within a maximum period of 3 Business Days (as defined below) from the date of disclosure of the material fact communicating the cancellation of the Offer</w:t>
            </w:r>
            <w:r w:rsidR="00C07A1B" w:rsidRPr="007766AB">
              <w:rPr>
                <w:rFonts w:ascii="Verdana" w:eastAsiaTheme="minorHAnsi" w:hAnsi="Verdana" w:cs="Arial"/>
                <w:lang w:val="en-US"/>
              </w:rPr>
              <w:t>.</w:t>
            </w:r>
          </w:p>
        </w:tc>
      </w:tr>
      <w:tr w:rsidR="00D81D3D" w:rsidRPr="00016DC5" w14:paraId="0E4EC28C" w14:textId="77777777" w:rsidTr="00BE12AD">
        <w:trPr>
          <w:trHeight w:val="20"/>
          <w:jc w:val="center"/>
        </w:trPr>
        <w:tc>
          <w:tcPr>
            <w:tcW w:w="5382" w:type="dxa"/>
          </w:tcPr>
          <w:p w14:paraId="2CC461BC" w14:textId="77777777" w:rsidR="00D81D3D" w:rsidRPr="00C07A1B" w:rsidRDefault="00D81D3D" w:rsidP="00D81D3D">
            <w:pPr>
              <w:pStyle w:val="Corpodetexto"/>
              <w:tabs>
                <w:tab w:val="left" w:pos="0"/>
                <w:tab w:val="left" w:pos="817"/>
              </w:tabs>
              <w:spacing w:line="320" w:lineRule="exact"/>
              <w:jc w:val="both"/>
              <w:rPr>
                <w:rFonts w:ascii="Verdana" w:eastAsiaTheme="minorHAnsi" w:hAnsi="Verdana" w:cs="Arial"/>
                <w:b/>
                <w:lang w:val="en-US" w:eastAsia="en-GB"/>
              </w:rPr>
            </w:pPr>
          </w:p>
        </w:tc>
        <w:tc>
          <w:tcPr>
            <w:tcW w:w="5168" w:type="dxa"/>
          </w:tcPr>
          <w:p w14:paraId="04E63368" w14:textId="77777777" w:rsidR="00D81D3D" w:rsidRPr="00C07A1B" w:rsidRDefault="00D81D3D" w:rsidP="00D81D3D">
            <w:pPr>
              <w:pStyle w:val="Corpodetexto"/>
              <w:tabs>
                <w:tab w:val="left" w:pos="0"/>
                <w:tab w:val="left" w:pos="817"/>
              </w:tabs>
              <w:spacing w:line="320" w:lineRule="exact"/>
              <w:jc w:val="both"/>
              <w:rPr>
                <w:rFonts w:ascii="Verdana" w:eastAsiaTheme="minorHAnsi" w:hAnsi="Verdana" w:cs="Arial"/>
                <w:b/>
                <w:lang w:val="en-US"/>
              </w:rPr>
            </w:pPr>
          </w:p>
        </w:tc>
      </w:tr>
      <w:tr w:rsidR="00D81D3D" w:rsidRPr="00016DC5" w14:paraId="134387F0" w14:textId="77777777" w:rsidTr="00BE12AD">
        <w:trPr>
          <w:trHeight w:val="367"/>
          <w:jc w:val="center"/>
        </w:trPr>
        <w:tc>
          <w:tcPr>
            <w:tcW w:w="5382" w:type="dxa"/>
          </w:tcPr>
          <w:p w14:paraId="7E8A3D50" w14:textId="150DF51E" w:rsidR="00D81D3D" w:rsidRPr="00295D4D" w:rsidRDefault="00D81D3D" w:rsidP="00D81D3D">
            <w:pPr>
              <w:pStyle w:val="Corpodetexto"/>
              <w:tabs>
                <w:tab w:val="left" w:pos="817"/>
              </w:tabs>
              <w:spacing w:line="320" w:lineRule="exact"/>
              <w:jc w:val="both"/>
              <w:rPr>
                <w:rFonts w:ascii="Verdana" w:eastAsiaTheme="minorHAnsi" w:hAnsi="Verdana" w:cs="Arial"/>
                <w:bCs/>
                <w:lang w:eastAsia="en-GB"/>
              </w:rPr>
            </w:pPr>
            <w:r w:rsidRPr="00295D4D">
              <w:rPr>
                <w:rFonts w:ascii="Verdana" w:eastAsiaTheme="minorHAnsi" w:hAnsi="Verdana" w:cs="Arial"/>
                <w:bCs/>
                <w:lang w:eastAsia="en-GB"/>
              </w:rPr>
              <w:t>A emissão das Ações pela Companhia em decorrência da Oferta será realizada com exclusão do direito de preferência dos atuais Acionistas, nos termos do artigo 172, inciso I, da Lei nº 6.404, de 15 de dezembro de 1976 (“</w:t>
            </w:r>
            <w:r w:rsidRPr="00295D4D">
              <w:rPr>
                <w:rFonts w:ascii="Verdana" w:eastAsiaTheme="minorHAnsi" w:hAnsi="Verdana" w:cs="Arial"/>
                <w:b/>
                <w:bCs/>
                <w:lang w:eastAsia="en-GB"/>
              </w:rPr>
              <w:t>Lei das Sociedades por Ações</w:t>
            </w:r>
            <w:r w:rsidRPr="00295D4D">
              <w:rPr>
                <w:rFonts w:ascii="Verdana" w:eastAsiaTheme="minorHAnsi" w:hAnsi="Verdana" w:cs="Arial"/>
                <w:bCs/>
                <w:lang w:eastAsia="en-GB"/>
              </w:rPr>
              <w:t>”) e do artigo 6º, parágrafo 2º, do Estatuto Social da Companhia, e tal emissão foi realizada dentro do limite de capital autorizado previsto no artigo 6º do Estatuto Social da Companhia.</w:t>
            </w:r>
          </w:p>
        </w:tc>
        <w:tc>
          <w:tcPr>
            <w:tcW w:w="5168" w:type="dxa"/>
          </w:tcPr>
          <w:p w14:paraId="185F18B5" w14:textId="53814355" w:rsidR="00D81D3D" w:rsidRPr="00295D4D" w:rsidRDefault="00D81D3D" w:rsidP="00D81D3D">
            <w:pPr>
              <w:pStyle w:val="Corpodetexto"/>
              <w:tabs>
                <w:tab w:val="left" w:pos="817"/>
              </w:tabs>
              <w:spacing w:line="320" w:lineRule="exact"/>
              <w:jc w:val="both"/>
              <w:rPr>
                <w:rFonts w:ascii="Verdana" w:eastAsiaTheme="minorHAnsi" w:hAnsi="Verdana" w:cs="Arial"/>
                <w:bCs/>
                <w:lang w:val="en-US"/>
              </w:rPr>
            </w:pPr>
            <w:r w:rsidRPr="00295D4D">
              <w:rPr>
                <w:rFonts w:ascii="Verdana" w:eastAsiaTheme="minorHAnsi" w:hAnsi="Verdana" w:cs="Arial"/>
                <w:lang w:val="en-US"/>
              </w:rPr>
              <w:t xml:space="preserve">Issuance of Shares by the </w:t>
            </w:r>
            <w:r w:rsidRPr="00295D4D">
              <w:rPr>
                <w:rFonts w:ascii="Verdana" w:hAnsi="Verdana" w:cs="Arial"/>
                <w:lang w:val="en-US"/>
              </w:rPr>
              <w:t>Company</w:t>
            </w:r>
            <w:r w:rsidRPr="00295D4D">
              <w:rPr>
                <w:rFonts w:ascii="Verdana" w:eastAsiaTheme="minorHAnsi" w:hAnsi="Verdana" w:cs="Arial"/>
                <w:lang w:val="en-US"/>
              </w:rPr>
              <w:t xml:space="preserve"> as a result of the Offering will be made to the exclusion of the preemptive right of the current Shareholders under the terms of article 172, item I, of Law No. 6,404, as of December 15, 1976 (“</w:t>
            </w:r>
            <w:r w:rsidRPr="00295D4D">
              <w:rPr>
                <w:rFonts w:ascii="Verdana" w:eastAsiaTheme="minorHAnsi" w:hAnsi="Verdana" w:cs="Arial"/>
                <w:b/>
                <w:bCs/>
                <w:lang w:val="en-US"/>
              </w:rPr>
              <w:t>Corporate Law</w:t>
            </w:r>
            <w:r w:rsidRPr="00295D4D">
              <w:rPr>
                <w:rFonts w:ascii="Verdana" w:eastAsiaTheme="minorHAnsi" w:hAnsi="Verdana" w:cs="Arial"/>
                <w:lang w:val="en-US"/>
              </w:rPr>
              <w:t xml:space="preserve">”) and article 6, paragraph 2 of the </w:t>
            </w:r>
            <w:r w:rsidRPr="00295D4D">
              <w:rPr>
                <w:rFonts w:ascii="Verdana" w:hAnsi="Verdana" w:cs="Arial"/>
                <w:lang w:val="en-US"/>
              </w:rPr>
              <w:t>Company</w:t>
            </w:r>
            <w:r w:rsidRPr="00295D4D">
              <w:rPr>
                <w:rFonts w:ascii="Verdana" w:eastAsiaTheme="minorHAnsi" w:hAnsi="Verdana" w:cs="Arial"/>
                <w:lang w:val="en-US"/>
              </w:rPr>
              <w:t xml:space="preserve"> By-Laws, and such issuance was made within the cap of the authorized stock capital provided for in article 6 of the </w:t>
            </w:r>
            <w:r w:rsidRPr="00295D4D">
              <w:rPr>
                <w:rFonts w:ascii="Verdana" w:hAnsi="Verdana" w:cs="Arial"/>
                <w:lang w:val="en-US"/>
              </w:rPr>
              <w:t>Company</w:t>
            </w:r>
            <w:r w:rsidRPr="00295D4D">
              <w:rPr>
                <w:rFonts w:ascii="Verdana" w:eastAsiaTheme="minorHAnsi" w:hAnsi="Verdana" w:cs="Arial"/>
                <w:lang w:val="en-US"/>
              </w:rPr>
              <w:t>’s By-Laws.</w:t>
            </w:r>
          </w:p>
        </w:tc>
      </w:tr>
      <w:tr w:rsidR="00D81D3D" w:rsidRPr="00016DC5" w14:paraId="6FC842D4" w14:textId="77777777" w:rsidTr="00BE12AD">
        <w:trPr>
          <w:trHeight w:val="20"/>
          <w:jc w:val="center"/>
        </w:trPr>
        <w:tc>
          <w:tcPr>
            <w:tcW w:w="5382" w:type="dxa"/>
          </w:tcPr>
          <w:p w14:paraId="20C2ADCC" w14:textId="77777777" w:rsidR="00D81D3D" w:rsidRPr="00295D4D" w:rsidRDefault="00D81D3D" w:rsidP="00D81D3D">
            <w:pPr>
              <w:pStyle w:val="Corpodetexto"/>
              <w:tabs>
                <w:tab w:val="left" w:pos="817"/>
              </w:tabs>
              <w:spacing w:line="320" w:lineRule="exact"/>
              <w:jc w:val="both"/>
              <w:rPr>
                <w:rFonts w:ascii="Verdana" w:eastAsiaTheme="minorHAnsi" w:hAnsi="Verdana" w:cs="Arial"/>
                <w:lang w:val="en-US" w:eastAsia="en-GB"/>
              </w:rPr>
            </w:pPr>
          </w:p>
        </w:tc>
        <w:tc>
          <w:tcPr>
            <w:tcW w:w="5168" w:type="dxa"/>
          </w:tcPr>
          <w:p w14:paraId="67923A02" w14:textId="77777777" w:rsidR="00D81D3D" w:rsidRPr="00295D4D" w:rsidRDefault="00D81D3D" w:rsidP="00D81D3D">
            <w:pPr>
              <w:pStyle w:val="Corpodetexto"/>
              <w:tabs>
                <w:tab w:val="left" w:pos="817"/>
              </w:tabs>
              <w:spacing w:line="320" w:lineRule="exact"/>
              <w:jc w:val="both"/>
              <w:rPr>
                <w:rFonts w:ascii="Verdana" w:eastAsiaTheme="minorHAnsi" w:hAnsi="Verdana" w:cs="Arial"/>
                <w:lang w:val="en-US"/>
              </w:rPr>
            </w:pPr>
          </w:p>
        </w:tc>
      </w:tr>
      <w:tr w:rsidR="00D81D3D" w:rsidRPr="00016DC5" w14:paraId="20A46A29" w14:textId="77777777" w:rsidTr="00BE12AD">
        <w:trPr>
          <w:trHeight w:val="20"/>
          <w:jc w:val="center"/>
        </w:trPr>
        <w:tc>
          <w:tcPr>
            <w:tcW w:w="5382" w:type="dxa"/>
          </w:tcPr>
          <w:p w14:paraId="70B8B2A1" w14:textId="638A28F3" w:rsidR="00D81D3D" w:rsidRPr="00295D4D" w:rsidRDefault="00D81D3D" w:rsidP="00D81D3D">
            <w:pPr>
              <w:pStyle w:val="Corpodetexto"/>
              <w:tabs>
                <w:tab w:val="left" w:pos="0"/>
                <w:tab w:val="left" w:pos="817"/>
              </w:tabs>
              <w:spacing w:line="320" w:lineRule="exact"/>
              <w:jc w:val="both"/>
              <w:rPr>
                <w:rFonts w:ascii="Verdana" w:eastAsiaTheme="minorHAnsi" w:hAnsi="Verdana" w:cs="Arial"/>
                <w:lang w:eastAsia="en-GB"/>
              </w:rPr>
            </w:pPr>
            <w:r w:rsidRPr="00295D4D">
              <w:rPr>
                <w:rFonts w:ascii="Verdana" w:eastAsiaTheme="minorHAnsi" w:hAnsi="Verdana" w:cs="Arial"/>
                <w:lang w:eastAsia="en-GB"/>
              </w:rPr>
              <w:t>A realização da Oferta, com a exclusão do direito de preferência dos atuais Acionistas e a concessão aos Acionistas do direito de participação no âmbito da Oferta Prioritária, bem como seus termos e condições</w:t>
            </w:r>
            <w:r>
              <w:rPr>
                <w:rFonts w:ascii="Verdana" w:eastAsiaTheme="minorHAnsi" w:hAnsi="Verdana" w:cs="Arial"/>
                <w:lang w:eastAsia="en-GB"/>
              </w:rPr>
              <w:t xml:space="preserve"> e</w:t>
            </w:r>
            <w:r w:rsidRPr="00295D4D">
              <w:rPr>
                <w:rFonts w:ascii="Verdana" w:eastAsiaTheme="minorHAnsi" w:hAnsi="Verdana" w:cs="Arial"/>
                <w:lang w:eastAsia="en-GB"/>
              </w:rPr>
              <w:t xml:space="preserve"> o Preço por Ação foram aprovadas em reunião do Conselho de </w:t>
            </w:r>
            <w:r w:rsidRPr="00295D4D">
              <w:rPr>
                <w:rFonts w:ascii="Verdana" w:eastAsiaTheme="minorHAnsi" w:hAnsi="Verdana" w:cs="Arial"/>
                <w:lang w:eastAsia="en-GB"/>
              </w:rPr>
              <w:lastRenderedPageBreak/>
              <w:t xml:space="preserve">Administração da Companhia, realizada em </w:t>
            </w:r>
            <w:r>
              <w:rPr>
                <w:rFonts w:ascii="Verdana" w:hAnsi="Verdana" w:cs="Arial"/>
              </w:rPr>
              <w:t>2</w:t>
            </w:r>
            <w:r w:rsidRPr="00295D4D">
              <w:rPr>
                <w:rFonts w:ascii="Verdana" w:eastAsiaTheme="minorHAnsi" w:hAnsi="Verdana" w:cs="Arial"/>
                <w:lang w:eastAsia="en-GB"/>
              </w:rPr>
              <w:t xml:space="preserve"> de </w:t>
            </w:r>
            <w:r>
              <w:rPr>
                <w:rFonts w:ascii="Verdana" w:eastAsiaTheme="minorHAnsi" w:hAnsi="Verdana" w:cs="Arial"/>
                <w:lang w:eastAsia="en-GB"/>
              </w:rPr>
              <w:t>fevereiro</w:t>
            </w:r>
            <w:r w:rsidRPr="00295D4D">
              <w:rPr>
                <w:rFonts w:ascii="Verdana" w:eastAsiaTheme="minorHAnsi" w:hAnsi="Verdana" w:cs="Arial"/>
                <w:lang w:eastAsia="en-GB"/>
              </w:rPr>
              <w:t xml:space="preserve"> de 202</w:t>
            </w:r>
            <w:r>
              <w:rPr>
                <w:rFonts w:ascii="Verdana" w:eastAsiaTheme="minorHAnsi" w:hAnsi="Verdana" w:cs="Arial"/>
                <w:lang w:eastAsia="en-GB"/>
              </w:rPr>
              <w:t>6</w:t>
            </w:r>
            <w:r w:rsidRPr="00295D4D">
              <w:rPr>
                <w:rFonts w:ascii="Verdana" w:eastAsiaTheme="minorHAnsi" w:hAnsi="Verdana" w:cs="Arial"/>
                <w:lang w:eastAsia="en-GB"/>
              </w:rPr>
              <w:t>, cuja ata será protocolada para arquivamento perante a Junta Comercial do Estado de São Paulo e será publicada no</w:t>
            </w:r>
            <w:r w:rsidR="00375C93">
              <w:rPr>
                <w:rFonts w:ascii="Verdana" w:eastAsiaTheme="minorHAnsi" w:hAnsi="Verdana" w:cs="Arial"/>
                <w:lang w:eastAsia="en-GB"/>
              </w:rPr>
              <w:t>s</w:t>
            </w:r>
            <w:r w:rsidRPr="00295D4D">
              <w:rPr>
                <w:rFonts w:ascii="Verdana" w:eastAsiaTheme="minorHAnsi" w:hAnsi="Verdana" w:cs="Arial"/>
                <w:lang w:eastAsia="en-GB"/>
              </w:rPr>
              <w:t xml:space="preserve"> jorna</w:t>
            </w:r>
            <w:r w:rsidR="00375C93">
              <w:rPr>
                <w:rFonts w:ascii="Verdana" w:eastAsiaTheme="minorHAnsi" w:hAnsi="Verdana" w:cs="Arial"/>
                <w:lang w:eastAsia="en-GB"/>
              </w:rPr>
              <w:t>is</w:t>
            </w:r>
            <w:r w:rsidRPr="00295D4D">
              <w:rPr>
                <w:rFonts w:ascii="Verdana" w:eastAsiaTheme="minorHAnsi" w:hAnsi="Verdana" w:cs="Arial"/>
                <w:lang w:eastAsia="en-GB"/>
              </w:rPr>
              <w:t xml:space="preserve"> “Folha de São Paulo” </w:t>
            </w:r>
            <w:r w:rsidR="00375C93">
              <w:rPr>
                <w:rFonts w:ascii="Verdana" w:eastAsiaTheme="minorHAnsi" w:hAnsi="Verdana" w:cs="Arial"/>
                <w:lang w:eastAsia="en-GB"/>
              </w:rPr>
              <w:t xml:space="preserve">e “Data Mercantil” </w:t>
            </w:r>
            <w:r w:rsidRPr="00295D4D">
              <w:rPr>
                <w:rFonts w:ascii="Verdana" w:eastAsiaTheme="minorHAnsi" w:hAnsi="Verdana" w:cs="Arial"/>
                <w:lang w:eastAsia="en-GB"/>
              </w:rPr>
              <w:t>(“</w:t>
            </w:r>
            <w:r w:rsidRPr="00295D4D">
              <w:rPr>
                <w:rFonts w:ascii="Verdana" w:eastAsiaTheme="minorHAnsi" w:hAnsi="Verdana" w:cs="Arial"/>
                <w:b/>
                <w:bCs/>
                <w:lang w:eastAsia="en-GB"/>
              </w:rPr>
              <w:t>RCA da Aprovação</w:t>
            </w:r>
            <w:r w:rsidRPr="00295D4D">
              <w:rPr>
                <w:rFonts w:ascii="Verdana" w:eastAsiaTheme="minorHAnsi" w:hAnsi="Verdana" w:cs="Arial"/>
                <w:lang w:eastAsia="en-GB"/>
              </w:rPr>
              <w:t>”).</w:t>
            </w:r>
          </w:p>
        </w:tc>
        <w:tc>
          <w:tcPr>
            <w:tcW w:w="5168" w:type="dxa"/>
          </w:tcPr>
          <w:p w14:paraId="78A9AED0" w14:textId="4CC2790B" w:rsidR="00D81D3D" w:rsidRPr="00295D4D" w:rsidRDefault="00D81D3D" w:rsidP="00D81D3D">
            <w:pPr>
              <w:pStyle w:val="Corpodetexto"/>
              <w:tabs>
                <w:tab w:val="left" w:pos="0"/>
                <w:tab w:val="left" w:pos="817"/>
              </w:tabs>
              <w:spacing w:line="320" w:lineRule="exact"/>
              <w:jc w:val="both"/>
              <w:rPr>
                <w:rFonts w:ascii="Verdana" w:eastAsiaTheme="minorHAnsi" w:hAnsi="Verdana" w:cs="Arial"/>
                <w:lang w:val="en-US"/>
              </w:rPr>
            </w:pPr>
            <w:r w:rsidRPr="00295D4D">
              <w:rPr>
                <w:rFonts w:ascii="Verdana" w:hAnsi="Verdana" w:cs="Arial"/>
                <w:lang w:val="en-US"/>
              </w:rPr>
              <w:lastRenderedPageBreak/>
              <w:t xml:space="preserve">The Offering is made to the exclusion of the preemptive right of the </w:t>
            </w:r>
            <w:r w:rsidRPr="00295D4D">
              <w:rPr>
                <w:rFonts w:ascii="Verdana" w:eastAsiaTheme="minorHAnsi" w:hAnsi="Verdana" w:cs="Arial"/>
                <w:lang w:val="en-US"/>
              </w:rPr>
              <w:t>Shareholders</w:t>
            </w:r>
            <w:r w:rsidRPr="00295D4D">
              <w:rPr>
                <w:rFonts w:ascii="Verdana" w:hAnsi="Verdana" w:cs="Arial"/>
                <w:lang w:val="en-US"/>
              </w:rPr>
              <w:t xml:space="preserve">, having granted the </w:t>
            </w:r>
            <w:r w:rsidRPr="00295D4D">
              <w:rPr>
                <w:rFonts w:ascii="Verdana" w:eastAsiaTheme="minorHAnsi" w:hAnsi="Verdana" w:cs="Arial"/>
                <w:lang w:val="en-US"/>
              </w:rPr>
              <w:t>Shareholders</w:t>
            </w:r>
            <w:r w:rsidRPr="00295D4D">
              <w:rPr>
                <w:rFonts w:ascii="Verdana" w:hAnsi="Verdana" w:cs="Arial"/>
                <w:lang w:val="en-US"/>
              </w:rPr>
              <w:t xml:space="preserve"> the right to participate in the Priority Offering, its terms and conditions</w:t>
            </w:r>
            <w:r>
              <w:rPr>
                <w:rFonts w:ascii="Verdana" w:hAnsi="Verdana" w:cs="Arial"/>
                <w:lang w:val="en-US"/>
              </w:rPr>
              <w:t xml:space="preserve"> and</w:t>
            </w:r>
            <w:r w:rsidRPr="00295D4D">
              <w:rPr>
                <w:rFonts w:ascii="Verdana" w:hAnsi="Verdana" w:cs="Arial"/>
                <w:lang w:val="en-US"/>
              </w:rPr>
              <w:t xml:space="preserve"> the Price per Share have been approved at the Company’s Board of </w:t>
            </w:r>
            <w:r w:rsidRPr="00295D4D">
              <w:rPr>
                <w:rFonts w:ascii="Verdana" w:hAnsi="Verdana" w:cs="Arial"/>
                <w:lang w:val="en-US"/>
              </w:rPr>
              <w:lastRenderedPageBreak/>
              <w:t xml:space="preserve">Director meeting held </w:t>
            </w:r>
            <w:r>
              <w:rPr>
                <w:rFonts w:ascii="Verdana" w:hAnsi="Verdana" w:cs="Arial"/>
                <w:lang w:val="en-US"/>
              </w:rPr>
              <w:t xml:space="preserve">February </w:t>
            </w:r>
            <w:r w:rsidRPr="005520B3">
              <w:rPr>
                <w:rFonts w:ascii="Verdana" w:hAnsi="Verdana" w:cs="Arial"/>
                <w:lang w:val="en-US"/>
              </w:rPr>
              <w:t>2nd</w:t>
            </w:r>
            <w:r w:rsidRPr="00295D4D">
              <w:rPr>
                <w:rFonts w:ascii="Verdana" w:hAnsi="Verdana" w:cs="Arial"/>
                <w:lang w:val="en-US"/>
              </w:rPr>
              <w:t>, 202</w:t>
            </w:r>
            <w:r>
              <w:rPr>
                <w:rFonts w:ascii="Verdana" w:hAnsi="Verdana" w:cs="Arial"/>
                <w:lang w:val="en-US"/>
              </w:rPr>
              <w:t>6</w:t>
            </w:r>
            <w:r w:rsidRPr="00295D4D">
              <w:rPr>
                <w:rFonts w:ascii="Verdana" w:hAnsi="Verdana" w:cs="Arial"/>
                <w:lang w:val="en-US"/>
              </w:rPr>
              <w:t xml:space="preserve">, whose minutes will be submitted to filing with the São Paulo State Board of Commerce and published in the “Folha de São Paulo” </w:t>
            </w:r>
            <w:r w:rsidR="00375C93">
              <w:rPr>
                <w:rFonts w:ascii="Verdana" w:hAnsi="Verdana" w:cs="Arial"/>
                <w:lang w:val="en-US"/>
              </w:rPr>
              <w:t xml:space="preserve">and “Data Mercantil” </w:t>
            </w:r>
            <w:r w:rsidRPr="00295D4D">
              <w:rPr>
                <w:rFonts w:ascii="Verdana" w:hAnsi="Verdana" w:cs="Arial"/>
                <w:lang w:val="en-US"/>
              </w:rPr>
              <w:t>journal</w:t>
            </w:r>
            <w:r w:rsidR="00375C93">
              <w:rPr>
                <w:rFonts w:ascii="Verdana" w:hAnsi="Verdana" w:cs="Arial"/>
                <w:lang w:val="en-US"/>
              </w:rPr>
              <w:t>s</w:t>
            </w:r>
            <w:r w:rsidRPr="00295D4D">
              <w:rPr>
                <w:rFonts w:ascii="Verdana" w:hAnsi="Verdana" w:cs="Arial"/>
                <w:lang w:val="en-US"/>
              </w:rPr>
              <w:t xml:space="preserve"> (“</w:t>
            </w:r>
            <w:r w:rsidRPr="00295D4D">
              <w:rPr>
                <w:rFonts w:ascii="Verdana" w:hAnsi="Verdana" w:cs="Arial"/>
                <w:b/>
                <w:bCs/>
                <w:lang w:val="en-US"/>
              </w:rPr>
              <w:t>Approval BoD</w:t>
            </w:r>
            <w:r w:rsidRPr="00295D4D">
              <w:rPr>
                <w:rFonts w:ascii="Verdana" w:hAnsi="Verdana" w:cs="Arial"/>
                <w:lang w:val="en-US"/>
              </w:rPr>
              <w:t>”).</w:t>
            </w:r>
          </w:p>
        </w:tc>
      </w:tr>
      <w:tr w:rsidR="00D81D3D" w:rsidRPr="00016DC5" w14:paraId="2B60CC6D" w14:textId="77777777" w:rsidTr="00BE12AD">
        <w:trPr>
          <w:trHeight w:val="20"/>
          <w:jc w:val="center"/>
        </w:trPr>
        <w:tc>
          <w:tcPr>
            <w:tcW w:w="5382" w:type="dxa"/>
          </w:tcPr>
          <w:p w14:paraId="59881606" w14:textId="77777777" w:rsidR="00D81D3D" w:rsidRPr="00295D4D" w:rsidRDefault="00D81D3D" w:rsidP="00D81D3D">
            <w:pPr>
              <w:pStyle w:val="Corpodetexto"/>
              <w:tabs>
                <w:tab w:val="left" w:pos="0"/>
                <w:tab w:val="left" w:pos="817"/>
              </w:tabs>
              <w:spacing w:line="320" w:lineRule="exact"/>
              <w:jc w:val="both"/>
              <w:rPr>
                <w:rFonts w:ascii="Verdana" w:eastAsiaTheme="minorHAnsi" w:hAnsi="Verdana" w:cs="Arial"/>
                <w:lang w:val="en-US" w:eastAsia="en-GB"/>
              </w:rPr>
            </w:pPr>
          </w:p>
        </w:tc>
        <w:tc>
          <w:tcPr>
            <w:tcW w:w="5168" w:type="dxa"/>
          </w:tcPr>
          <w:p w14:paraId="54C1D6F8" w14:textId="77777777" w:rsidR="00D81D3D" w:rsidRPr="00295D4D" w:rsidRDefault="00D81D3D" w:rsidP="00D81D3D">
            <w:pPr>
              <w:pStyle w:val="Corpodetexto"/>
              <w:tabs>
                <w:tab w:val="left" w:pos="0"/>
                <w:tab w:val="left" w:pos="817"/>
              </w:tabs>
              <w:spacing w:line="320" w:lineRule="exact"/>
              <w:jc w:val="both"/>
              <w:rPr>
                <w:rFonts w:ascii="Verdana" w:eastAsiaTheme="minorHAnsi" w:hAnsi="Verdana" w:cs="Arial"/>
                <w:lang w:val="en-US"/>
              </w:rPr>
            </w:pPr>
          </w:p>
        </w:tc>
      </w:tr>
      <w:tr w:rsidR="00D81D3D" w:rsidRPr="00016DC5" w14:paraId="204C99A8" w14:textId="77777777" w:rsidTr="00BE12AD">
        <w:trPr>
          <w:trHeight w:val="20"/>
          <w:jc w:val="center"/>
        </w:trPr>
        <w:tc>
          <w:tcPr>
            <w:tcW w:w="5382" w:type="dxa"/>
          </w:tcPr>
          <w:p w14:paraId="3B8F2D64" w14:textId="61024B2D" w:rsidR="00D81D3D" w:rsidRPr="00295D4D" w:rsidRDefault="00D81D3D" w:rsidP="00D81D3D">
            <w:pPr>
              <w:pStyle w:val="Corpodetexto"/>
              <w:tabs>
                <w:tab w:val="left" w:pos="817"/>
              </w:tabs>
              <w:spacing w:line="320" w:lineRule="exact"/>
              <w:jc w:val="both"/>
              <w:rPr>
                <w:rFonts w:ascii="Verdana" w:eastAsiaTheme="minorHAnsi" w:hAnsi="Verdana" w:cs="Arial"/>
                <w:bCs/>
                <w:lang w:eastAsia="en-GB"/>
              </w:rPr>
            </w:pPr>
            <w:r w:rsidRPr="00295D4D">
              <w:rPr>
                <w:rFonts w:ascii="Verdana" w:eastAsiaTheme="minorHAnsi" w:hAnsi="Verdana" w:cs="Arial"/>
                <w:lang w:eastAsia="en-GB"/>
              </w:rPr>
              <w:t xml:space="preserve">Após o atendimento do Direito de Prioridade, no âmbito da Oferta Prioritária, as Ações remanescentes, se houver, serão destinadas </w:t>
            </w:r>
            <w:r>
              <w:rPr>
                <w:rFonts w:ascii="Verdana" w:eastAsiaTheme="minorHAnsi" w:hAnsi="Verdana" w:cs="Arial"/>
                <w:lang w:eastAsia="en-GB"/>
              </w:rPr>
              <w:t xml:space="preserve">à colocação </w:t>
            </w:r>
            <w:r w:rsidR="00016DC5">
              <w:rPr>
                <w:rFonts w:ascii="Verdana" w:eastAsiaTheme="minorHAnsi" w:hAnsi="Verdana" w:cs="Arial"/>
                <w:lang w:eastAsia="en-GB"/>
              </w:rPr>
              <w:t xml:space="preserve">pública, </w:t>
            </w:r>
            <w:r>
              <w:rPr>
                <w:rFonts w:ascii="Verdana" w:eastAsiaTheme="minorHAnsi" w:hAnsi="Verdana" w:cs="Arial"/>
                <w:lang w:eastAsia="en-GB"/>
              </w:rPr>
              <w:t xml:space="preserve">em Lotes de Ações, junto </w:t>
            </w:r>
            <w:r w:rsidRPr="00295D4D">
              <w:rPr>
                <w:rFonts w:ascii="Verdana" w:eastAsiaTheme="minorHAnsi" w:hAnsi="Verdana" w:cs="Arial"/>
                <w:lang w:eastAsia="en-GB"/>
              </w:rPr>
              <w:t xml:space="preserve">a </w:t>
            </w:r>
            <w:r w:rsidRPr="008C75BA">
              <w:rPr>
                <w:rFonts w:ascii="Verdana" w:eastAsiaTheme="minorHAnsi" w:hAnsi="Verdana" w:cs="Arial"/>
                <w:bCs/>
                <w:lang w:eastAsia="en-GB"/>
              </w:rPr>
              <w:t>Investidores Profissionais</w:t>
            </w:r>
            <w:r w:rsidRPr="00295D4D">
              <w:rPr>
                <w:rFonts w:ascii="Verdana" w:eastAsiaTheme="minorHAnsi" w:hAnsi="Verdana" w:cs="Arial"/>
                <w:bCs/>
                <w:lang w:eastAsia="en-GB"/>
              </w:rPr>
              <w:t xml:space="preserve">, </w:t>
            </w:r>
            <w:r>
              <w:rPr>
                <w:rFonts w:ascii="Verdana" w:eastAsiaTheme="minorHAnsi" w:hAnsi="Verdana" w:cs="Arial"/>
                <w:bCs/>
                <w:lang w:eastAsia="en-GB"/>
              </w:rPr>
              <w:t xml:space="preserve">incluindo </w:t>
            </w:r>
            <w:r w:rsidR="00105939">
              <w:rPr>
                <w:rFonts w:ascii="Verdana" w:eastAsiaTheme="minorHAnsi" w:hAnsi="Verdana" w:cs="Arial"/>
                <w:bCs/>
                <w:lang w:eastAsia="en-GB"/>
              </w:rPr>
              <w:t xml:space="preserve">a United, os Investidores Compromitentes </w:t>
            </w:r>
            <w:r>
              <w:rPr>
                <w:rFonts w:ascii="Verdana" w:eastAsiaTheme="minorHAnsi" w:hAnsi="Verdana" w:cs="Arial"/>
                <w:bCs/>
                <w:lang w:eastAsia="en-GB"/>
              </w:rPr>
              <w:t xml:space="preserve">e os Titulares </w:t>
            </w:r>
            <w:r w:rsidR="00A95991">
              <w:rPr>
                <w:rFonts w:ascii="Verdana" w:eastAsiaTheme="minorHAnsi" w:hAnsi="Verdana" w:cs="Arial"/>
                <w:bCs/>
                <w:lang w:eastAsia="en-GB"/>
              </w:rPr>
              <w:t>das Notas 1L e 2L</w:t>
            </w:r>
            <w:r>
              <w:rPr>
                <w:rFonts w:ascii="Verdana" w:eastAsiaTheme="minorHAnsi" w:hAnsi="Verdana" w:cs="Arial"/>
                <w:bCs/>
                <w:lang w:eastAsia="en-GB"/>
              </w:rPr>
              <w:t xml:space="preserve">, </w:t>
            </w:r>
            <w:r w:rsidRPr="008C75BA">
              <w:rPr>
                <w:rFonts w:ascii="Verdana" w:eastAsiaTheme="minorHAnsi" w:hAnsi="Verdana" w:cs="Arial"/>
                <w:bCs/>
                <w:lang w:eastAsia="en-GB"/>
              </w:rPr>
              <w:t xml:space="preserve">por meio </w:t>
            </w:r>
            <w:r w:rsidRPr="00295D4D">
              <w:rPr>
                <w:rFonts w:ascii="Verdana" w:eastAsiaTheme="minorHAnsi" w:hAnsi="Verdana" w:cs="Arial"/>
                <w:bCs/>
                <w:lang w:eastAsia="en-GB"/>
              </w:rPr>
              <w:t>do Coordenador</w:t>
            </w:r>
            <w:r w:rsidRPr="008C75BA">
              <w:rPr>
                <w:rFonts w:ascii="Verdana" w:eastAsiaTheme="minorHAnsi" w:hAnsi="Verdana" w:cs="Arial"/>
                <w:bCs/>
                <w:lang w:eastAsia="en-GB"/>
              </w:rPr>
              <w:t xml:space="preserve"> da Oferta, não sendo admitidas para tais Investidores Profissionais reservas antecipadas e não sendo estipulados valores mínimos ou máximos de investimento, </w:t>
            </w:r>
            <w:r w:rsidRPr="00295D4D">
              <w:rPr>
                <w:rFonts w:ascii="Verdana" w:eastAsiaTheme="minorHAnsi" w:hAnsi="Verdana" w:cs="Arial"/>
                <w:bCs/>
                <w:lang w:eastAsia="en-GB"/>
              </w:rPr>
              <w:t>desde que observadas as quantidades mínimas dos Lotes de Ações e</w:t>
            </w:r>
            <w:r w:rsidRPr="008C75BA">
              <w:rPr>
                <w:rFonts w:ascii="Verdana" w:eastAsiaTheme="minorHAnsi" w:hAnsi="Verdana" w:cs="Arial"/>
                <w:bCs/>
                <w:lang w:eastAsia="en-GB"/>
              </w:rPr>
              <w:t xml:space="preserve"> os termos da Resolução CVM 160</w:t>
            </w:r>
            <w:r w:rsidRPr="00295D4D">
              <w:rPr>
                <w:rFonts w:ascii="Verdana" w:eastAsiaTheme="minorHAnsi" w:hAnsi="Verdana" w:cs="Arial"/>
                <w:lang w:eastAsia="en-GB"/>
              </w:rPr>
              <w:t xml:space="preserve"> (“</w:t>
            </w:r>
            <w:r w:rsidRPr="00295D4D">
              <w:rPr>
                <w:rFonts w:ascii="Verdana" w:eastAsiaTheme="minorHAnsi" w:hAnsi="Verdana" w:cs="Arial"/>
                <w:b/>
                <w:lang w:eastAsia="en-GB"/>
              </w:rPr>
              <w:t>Oferta Institucional</w:t>
            </w:r>
            <w:r w:rsidRPr="00295D4D">
              <w:rPr>
                <w:rFonts w:ascii="Verdana" w:eastAsiaTheme="minorHAnsi" w:hAnsi="Verdana" w:cs="Arial"/>
                <w:lang w:eastAsia="en-GB"/>
              </w:rPr>
              <w:t xml:space="preserve">”). </w:t>
            </w:r>
            <w:r w:rsidRPr="00295D4D">
              <w:rPr>
                <w:rFonts w:ascii="Verdana" w:eastAsiaTheme="minorHAnsi" w:hAnsi="Verdana" w:cs="Arial"/>
                <w:bCs/>
                <w:lang w:eastAsia="en-GB"/>
              </w:rPr>
              <w:t>Os Acionistas que forem Investidores Profissionais e desejaram subscrever Ações em quantidade superior aos respectivos Limites de Subscrição Proporcional, em relação às parcelas que excedessem os respectivos Limites de Subscrição Proporcional, poderão participar da Oferta Institucional, desde que atendam às condições aplicáveis à Oferta Institucional.</w:t>
            </w:r>
          </w:p>
        </w:tc>
        <w:tc>
          <w:tcPr>
            <w:tcW w:w="5168" w:type="dxa"/>
          </w:tcPr>
          <w:p w14:paraId="7ECD2D37" w14:textId="5251D8DB" w:rsidR="00D81D3D" w:rsidRPr="00295D4D" w:rsidRDefault="00D81D3D" w:rsidP="00D81D3D">
            <w:pPr>
              <w:pStyle w:val="Corpodetexto"/>
              <w:tabs>
                <w:tab w:val="left" w:pos="817"/>
              </w:tabs>
              <w:spacing w:line="320" w:lineRule="exact"/>
              <w:jc w:val="both"/>
              <w:rPr>
                <w:rFonts w:ascii="Verdana" w:eastAsiaTheme="minorHAnsi" w:hAnsi="Verdana" w:cs="Arial"/>
                <w:bCs/>
                <w:lang w:val="en-US" w:eastAsia="en-GB"/>
              </w:rPr>
            </w:pPr>
            <w:r w:rsidRPr="00295D4D">
              <w:rPr>
                <w:rFonts w:ascii="Verdana" w:hAnsi="Verdana" w:cs="Arial"/>
                <w:lang w:val="en-US"/>
              </w:rPr>
              <w:t xml:space="preserve">After fulfilling the Priority Subscription Right as part of the Priority Proposal, the remaining Shares, if any, will be </w:t>
            </w:r>
            <w:r>
              <w:rPr>
                <w:rFonts w:ascii="Verdana" w:hAnsi="Verdana" w:cs="Arial"/>
                <w:lang w:val="en-US"/>
              </w:rPr>
              <w:t xml:space="preserve">allocated for </w:t>
            </w:r>
            <w:r w:rsidR="00016DC5">
              <w:rPr>
                <w:rFonts w:ascii="Verdana" w:hAnsi="Verdana" w:cs="Arial"/>
                <w:lang w:val="en-US"/>
              </w:rPr>
              <w:t xml:space="preserve">public </w:t>
            </w:r>
            <w:r>
              <w:rPr>
                <w:rFonts w:ascii="Verdana" w:hAnsi="Verdana" w:cs="Arial"/>
                <w:lang w:val="en-US"/>
              </w:rPr>
              <w:t xml:space="preserve">placement in Lots of Shares with Professional Investors, including </w:t>
            </w:r>
            <w:r w:rsidR="00105939">
              <w:rPr>
                <w:rFonts w:ascii="Verdana" w:hAnsi="Verdana" w:cs="Arial"/>
                <w:lang w:val="en-US"/>
              </w:rPr>
              <w:t xml:space="preserve">United, </w:t>
            </w:r>
            <w:r>
              <w:rPr>
                <w:rFonts w:ascii="Verdana" w:hAnsi="Verdana" w:cs="Arial"/>
                <w:lang w:val="en-US"/>
              </w:rPr>
              <w:t xml:space="preserve">the </w:t>
            </w:r>
            <w:r w:rsidR="00105939">
              <w:rPr>
                <w:rFonts w:ascii="Verdana" w:hAnsi="Verdana" w:cs="Arial"/>
                <w:lang w:val="en-US"/>
              </w:rPr>
              <w:t xml:space="preserve">Committing Investors </w:t>
            </w:r>
            <w:r>
              <w:rPr>
                <w:rFonts w:ascii="Verdana" w:hAnsi="Verdana" w:cs="Arial"/>
                <w:lang w:val="en-US"/>
              </w:rPr>
              <w:t xml:space="preserve">and the </w:t>
            </w:r>
            <w:r w:rsidR="00511586">
              <w:rPr>
                <w:rFonts w:ascii="Verdana" w:hAnsi="Verdana" w:cs="Arial"/>
                <w:lang w:val="en-US"/>
              </w:rPr>
              <w:t>Holders of 1L and 2L Notes</w:t>
            </w:r>
            <w:r>
              <w:rPr>
                <w:rFonts w:ascii="Verdana" w:hAnsi="Verdana" w:cs="Arial"/>
                <w:lang w:val="en-US"/>
              </w:rPr>
              <w:t>, through the Underwriter</w:t>
            </w:r>
            <w:r w:rsidRPr="00295D4D">
              <w:rPr>
                <w:rFonts w:ascii="Verdana" w:hAnsi="Verdana" w:cs="Arial"/>
                <w:bCs/>
                <w:lang w:val="en-US"/>
              </w:rPr>
              <w:t>, with no advance reservations permitted for such Professional Investors and no minimum or maximum investment amounts stipulated, provided that the minimum quantities of Lots of Shares and the terms of CVM Resolution 160 are observed</w:t>
            </w:r>
            <w:r w:rsidRPr="00295D4D">
              <w:rPr>
                <w:rFonts w:ascii="Verdana" w:hAnsi="Verdana" w:cs="Arial"/>
                <w:lang w:val="en-US"/>
              </w:rPr>
              <w:t xml:space="preserve"> (“</w:t>
            </w:r>
            <w:r w:rsidRPr="00295D4D">
              <w:rPr>
                <w:rFonts w:ascii="Verdana" w:hAnsi="Verdana" w:cs="Arial"/>
                <w:b/>
                <w:lang w:val="en-US"/>
              </w:rPr>
              <w:t>Institutional Offering</w:t>
            </w:r>
            <w:r w:rsidRPr="00295D4D">
              <w:rPr>
                <w:rFonts w:ascii="Verdana" w:hAnsi="Verdana" w:cs="Arial"/>
                <w:lang w:val="en-US"/>
              </w:rPr>
              <w:t>”). Shareholders who are Professional Investors and wish to subscribe Shares in excess of their respective Proportional Subscription Limits, in relation to the shares that exceed the respective Proportional Subscription Limits, may participate in the Institutional Offering, as long as they comply with the conditions applicable to the Institutional Offering</w:t>
            </w:r>
            <w:r w:rsidRPr="00295D4D">
              <w:rPr>
                <w:rFonts w:ascii="Verdana" w:hAnsi="Verdana" w:cs="Arial"/>
                <w:bCs/>
                <w:lang w:val="en-US"/>
              </w:rPr>
              <w:t>.</w:t>
            </w:r>
          </w:p>
        </w:tc>
      </w:tr>
      <w:tr w:rsidR="00D81D3D" w:rsidRPr="00016DC5" w14:paraId="3B394D74" w14:textId="77777777" w:rsidTr="00BE12AD">
        <w:trPr>
          <w:trHeight w:val="20"/>
          <w:jc w:val="center"/>
        </w:trPr>
        <w:tc>
          <w:tcPr>
            <w:tcW w:w="5382" w:type="dxa"/>
          </w:tcPr>
          <w:p w14:paraId="09CB1B32" w14:textId="77777777" w:rsidR="00D81D3D" w:rsidRPr="00295D4D" w:rsidRDefault="00D81D3D" w:rsidP="00D81D3D">
            <w:pPr>
              <w:pStyle w:val="Corpodetexto"/>
              <w:tabs>
                <w:tab w:val="left" w:pos="817"/>
              </w:tabs>
              <w:spacing w:line="320" w:lineRule="exact"/>
              <w:jc w:val="both"/>
              <w:rPr>
                <w:rFonts w:ascii="Verdana" w:eastAsiaTheme="minorHAnsi" w:hAnsi="Verdana" w:cs="Arial"/>
                <w:bCs/>
                <w:lang w:val="en-US" w:eastAsia="en-GB"/>
              </w:rPr>
            </w:pPr>
          </w:p>
        </w:tc>
        <w:tc>
          <w:tcPr>
            <w:tcW w:w="5168" w:type="dxa"/>
          </w:tcPr>
          <w:p w14:paraId="4FDF0E6D" w14:textId="77777777" w:rsidR="00D81D3D" w:rsidRPr="00295D4D" w:rsidRDefault="00D81D3D" w:rsidP="00D81D3D">
            <w:pPr>
              <w:pStyle w:val="Corpodetexto"/>
              <w:tabs>
                <w:tab w:val="left" w:pos="817"/>
              </w:tabs>
              <w:spacing w:line="320" w:lineRule="exact"/>
              <w:jc w:val="both"/>
              <w:rPr>
                <w:rFonts w:ascii="Verdana" w:eastAsiaTheme="minorHAnsi" w:hAnsi="Verdana" w:cs="Arial"/>
                <w:bCs/>
                <w:lang w:val="en-US" w:eastAsia="en-GB"/>
              </w:rPr>
            </w:pPr>
          </w:p>
        </w:tc>
      </w:tr>
      <w:tr w:rsidR="00D81D3D" w:rsidRPr="00016DC5" w14:paraId="6B3BC0EE" w14:textId="77777777" w:rsidTr="00BE12AD">
        <w:trPr>
          <w:trHeight w:val="20"/>
          <w:jc w:val="center"/>
        </w:trPr>
        <w:tc>
          <w:tcPr>
            <w:tcW w:w="5382" w:type="dxa"/>
          </w:tcPr>
          <w:p w14:paraId="0FCB6840" w14:textId="7BAD5D74" w:rsidR="00D81D3D" w:rsidRPr="00295D4D" w:rsidRDefault="00D81D3D" w:rsidP="00D81D3D">
            <w:pPr>
              <w:pStyle w:val="Corpodetexto"/>
              <w:tabs>
                <w:tab w:val="left" w:pos="817"/>
              </w:tabs>
              <w:spacing w:line="320" w:lineRule="exact"/>
              <w:jc w:val="both"/>
              <w:rPr>
                <w:rFonts w:ascii="Verdana" w:hAnsi="Verdana" w:cs="Arial"/>
                <w:bCs/>
              </w:rPr>
            </w:pPr>
            <w:r w:rsidRPr="00295D4D">
              <w:rPr>
                <w:rFonts w:ascii="Verdana" w:hAnsi="Verdana" w:cs="Arial"/>
                <w:bCs/>
              </w:rPr>
              <w:t xml:space="preserve">A instituição financeira contratada para a prestação de serviços de escrituração das Ações é a </w:t>
            </w:r>
            <w:r w:rsidRPr="00295D4D">
              <w:rPr>
                <w:rFonts w:ascii="Verdana" w:hAnsi="Verdana" w:cs="Arial"/>
                <w:color w:val="000000"/>
              </w:rPr>
              <w:t>Itaú Corretora de Valores S.A.</w:t>
            </w:r>
          </w:p>
        </w:tc>
        <w:tc>
          <w:tcPr>
            <w:tcW w:w="5168" w:type="dxa"/>
          </w:tcPr>
          <w:p w14:paraId="096B0F6F" w14:textId="6726E82E" w:rsidR="00D81D3D" w:rsidRPr="00295D4D" w:rsidRDefault="00D81D3D" w:rsidP="00D81D3D">
            <w:pPr>
              <w:pStyle w:val="Corpodetexto"/>
              <w:tabs>
                <w:tab w:val="left" w:pos="817"/>
              </w:tabs>
              <w:spacing w:line="320" w:lineRule="exact"/>
              <w:jc w:val="both"/>
              <w:rPr>
                <w:rFonts w:ascii="Verdana" w:hAnsi="Verdana" w:cs="Arial"/>
                <w:bCs/>
                <w:lang w:val="en-US"/>
              </w:rPr>
            </w:pPr>
            <w:r w:rsidRPr="00295D4D">
              <w:rPr>
                <w:rFonts w:ascii="Verdana" w:hAnsi="Verdana" w:cs="Arial"/>
                <w:color w:val="000000"/>
                <w:lang w:val="en-US"/>
              </w:rPr>
              <w:t>Itaú Corretora de Valores S.A.</w:t>
            </w:r>
            <w:r w:rsidRPr="00295D4D">
              <w:rPr>
                <w:rFonts w:ascii="Verdana" w:hAnsi="Verdana" w:cs="Arial"/>
                <w:bCs/>
                <w:lang w:val="en-US"/>
              </w:rPr>
              <w:t xml:space="preserve"> is </w:t>
            </w:r>
            <w:r w:rsidR="00105939">
              <w:rPr>
                <w:rFonts w:ascii="Verdana" w:hAnsi="Verdana" w:cs="Arial"/>
                <w:bCs/>
                <w:lang w:val="en-US"/>
              </w:rPr>
              <w:t xml:space="preserve">the </w:t>
            </w:r>
            <w:r w:rsidRPr="00295D4D">
              <w:rPr>
                <w:rFonts w:ascii="Verdana" w:hAnsi="Verdana" w:cs="Arial"/>
                <w:bCs/>
                <w:lang w:val="en-US"/>
              </w:rPr>
              <w:t>financial institution hired to provide bookkeeping services for the Shares.</w:t>
            </w:r>
          </w:p>
        </w:tc>
      </w:tr>
      <w:tr w:rsidR="00D81D3D" w:rsidRPr="00016DC5" w14:paraId="7A1887CD" w14:textId="77777777" w:rsidTr="00BE12AD">
        <w:trPr>
          <w:trHeight w:val="20"/>
          <w:jc w:val="center"/>
        </w:trPr>
        <w:tc>
          <w:tcPr>
            <w:tcW w:w="5382" w:type="dxa"/>
          </w:tcPr>
          <w:p w14:paraId="59E81692" w14:textId="77777777" w:rsidR="00D81D3D" w:rsidRPr="00282026" w:rsidRDefault="00D81D3D" w:rsidP="00D81D3D">
            <w:pPr>
              <w:pStyle w:val="Corpodetexto"/>
              <w:tabs>
                <w:tab w:val="left" w:pos="0"/>
                <w:tab w:val="left" w:pos="817"/>
              </w:tabs>
              <w:spacing w:line="320" w:lineRule="exact"/>
              <w:jc w:val="both"/>
              <w:rPr>
                <w:rFonts w:ascii="Verdana" w:hAnsi="Verdana" w:cs="Arial"/>
                <w:bCs/>
                <w:lang w:val="en-US"/>
              </w:rPr>
            </w:pPr>
          </w:p>
        </w:tc>
        <w:tc>
          <w:tcPr>
            <w:tcW w:w="5168" w:type="dxa"/>
          </w:tcPr>
          <w:p w14:paraId="37B6C7B7" w14:textId="77777777" w:rsidR="00D81D3D" w:rsidRPr="00282026" w:rsidRDefault="00D81D3D" w:rsidP="00D81D3D">
            <w:pPr>
              <w:pStyle w:val="Corpodetexto"/>
              <w:tabs>
                <w:tab w:val="left" w:pos="0"/>
                <w:tab w:val="left" w:pos="817"/>
              </w:tabs>
              <w:spacing w:line="320" w:lineRule="exact"/>
              <w:jc w:val="both"/>
              <w:rPr>
                <w:rFonts w:ascii="Verdana" w:hAnsi="Verdana" w:cs="Arial"/>
                <w:bCs/>
                <w:lang w:val="en-US"/>
              </w:rPr>
            </w:pPr>
          </w:p>
        </w:tc>
      </w:tr>
      <w:tr w:rsidR="00D81D3D" w:rsidRPr="00016DC5" w14:paraId="65ED3852" w14:textId="77777777" w:rsidTr="00BE12AD">
        <w:trPr>
          <w:trHeight w:val="20"/>
          <w:jc w:val="center"/>
        </w:trPr>
        <w:tc>
          <w:tcPr>
            <w:tcW w:w="5382" w:type="dxa"/>
          </w:tcPr>
          <w:p w14:paraId="1A1EB8E3" w14:textId="37312E08" w:rsidR="00D81D3D" w:rsidRPr="00295D4D" w:rsidRDefault="00D81D3D" w:rsidP="00D81D3D">
            <w:pPr>
              <w:pStyle w:val="Corpodetexto"/>
              <w:tabs>
                <w:tab w:val="left" w:pos="0"/>
                <w:tab w:val="left" w:pos="817"/>
              </w:tabs>
              <w:spacing w:line="320" w:lineRule="exact"/>
              <w:jc w:val="both"/>
              <w:rPr>
                <w:rFonts w:ascii="Verdana" w:hAnsi="Verdana" w:cs="Arial"/>
                <w:b/>
                <w:bCs/>
              </w:rPr>
            </w:pPr>
            <w:r w:rsidRPr="00295D4D">
              <w:rPr>
                <w:rFonts w:ascii="Verdana" w:hAnsi="Verdana" w:cs="Arial"/>
              </w:rPr>
              <w:t xml:space="preserve">O Fato Relevante da Oferta e o Formulário de Referência da Companhia contêm informações adicionais e complementares a este Pedido de Subscrição Prioritária e sua leitura possibilita uma análise detalhada dos termos e condições da Oferta e dos riscos a ela inerentes. </w:t>
            </w:r>
            <w:r w:rsidRPr="00295D4D">
              <w:rPr>
                <w:rFonts w:ascii="Verdana" w:hAnsi="Verdana" w:cs="Arial"/>
                <w:b/>
                <w:bCs/>
              </w:rPr>
              <w:t>LEIA O AVISO AO MERCADO, O FATO RELEVANTE DA OFERTA E O FORMULÁRIO DE REFERÊNCIA ANTES DE ACEITAR A OFERTA, ESPECIALMENTE OS PROCEDIMENTOS RELATIVOS AO PAGAMENTO DO PREÇO POR AÇÃO E À LIQUIDAÇÃO DA OFERTA PRIORITÁRIA, CONSTANTES DO FATO RELEVANTE DA OFERTA, BEM COMO OS ITENS “</w:t>
            </w:r>
            <w:r w:rsidRPr="00BE12AD">
              <w:rPr>
                <w:rFonts w:ascii="Verdana" w:hAnsi="Verdana" w:cs="Arial"/>
                <w:b/>
                <w:bCs/>
                <w:i/>
                <w:iCs/>
              </w:rPr>
              <w:t>4. FATORES DE RISCO</w:t>
            </w:r>
            <w:r w:rsidRPr="00295D4D">
              <w:rPr>
                <w:rFonts w:ascii="Verdana" w:hAnsi="Verdana" w:cs="Arial"/>
                <w:b/>
                <w:bCs/>
              </w:rPr>
              <w:t>”, “</w:t>
            </w:r>
            <w:r w:rsidRPr="00BE12AD">
              <w:rPr>
                <w:rFonts w:ascii="Verdana" w:hAnsi="Verdana" w:cs="Arial"/>
                <w:b/>
                <w:bCs/>
                <w:i/>
                <w:iCs/>
              </w:rPr>
              <w:t>12. CAPITAL SOCIAL E VALORES MOBILIÁRIOS</w:t>
            </w:r>
            <w:r w:rsidRPr="00295D4D">
              <w:rPr>
                <w:rFonts w:ascii="Verdana" w:hAnsi="Verdana" w:cs="Arial"/>
                <w:b/>
                <w:bCs/>
              </w:rPr>
              <w:t xml:space="preserve">” CONSTANTES DO FORMULÁRIO DE </w:t>
            </w:r>
            <w:r w:rsidRPr="00295D4D">
              <w:rPr>
                <w:rFonts w:ascii="Verdana" w:hAnsi="Verdana" w:cs="Arial"/>
                <w:b/>
                <w:bCs/>
              </w:rPr>
              <w:lastRenderedPageBreak/>
              <w:t>REFERÊNCIA DA COMPANHIA, PARA UMA DESCRIÇÃO DE CERTOS FATORES DE RISCOS RELACIONADOS À SUBSCRIÇÃO DE AÇÕES QUE DEVEM SER CONSIDERADOS NA TOMADA DE DECISÃO DE INVESTIMENTO.</w:t>
            </w:r>
          </w:p>
        </w:tc>
        <w:tc>
          <w:tcPr>
            <w:tcW w:w="5168" w:type="dxa"/>
          </w:tcPr>
          <w:p w14:paraId="27A7A838" w14:textId="5A864910" w:rsidR="00D81D3D" w:rsidRPr="00295D4D" w:rsidRDefault="00D81D3D" w:rsidP="00D81D3D">
            <w:pPr>
              <w:pStyle w:val="Corpodetexto"/>
              <w:tabs>
                <w:tab w:val="left" w:pos="0"/>
                <w:tab w:val="left" w:pos="817"/>
              </w:tabs>
              <w:spacing w:line="320" w:lineRule="exact"/>
              <w:jc w:val="both"/>
              <w:rPr>
                <w:rFonts w:ascii="Verdana" w:hAnsi="Verdana" w:cs="Arial"/>
                <w:b/>
                <w:bCs/>
                <w:lang w:val="en-US"/>
              </w:rPr>
            </w:pPr>
            <w:r w:rsidRPr="00295D4D">
              <w:rPr>
                <w:rFonts w:ascii="Verdana" w:hAnsi="Verdana" w:cs="Arial"/>
                <w:lang w:val="en-US"/>
              </w:rPr>
              <w:lastRenderedPageBreak/>
              <w:t xml:space="preserve">The Material Fact of the Offering and the Company's Reference Form contain information that is additional and complementary to this Subscription Bulletin. Within it can be found a detailed analysis of the terms and conditions of the Offering and the risks inherent thereto. </w:t>
            </w:r>
            <w:r w:rsidRPr="00295D4D">
              <w:rPr>
                <w:rFonts w:ascii="Verdana" w:hAnsi="Verdana" w:cs="Arial"/>
                <w:b/>
                <w:bCs/>
                <w:lang w:val="en-US"/>
              </w:rPr>
              <w:t xml:space="preserve">THE NOTICE TO THE MARKET, THE </w:t>
            </w:r>
            <w:r w:rsidRPr="00295D4D">
              <w:rPr>
                <w:rFonts w:ascii="Verdana" w:hAnsi="Verdana" w:cs="Arial"/>
                <w:b/>
                <w:lang w:val="en-US"/>
              </w:rPr>
              <w:t>MATERIAL</w:t>
            </w:r>
            <w:r w:rsidRPr="00295D4D">
              <w:rPr>
                <w:rFonts w:ascii="Verdana" w:hAnsi="Verdana" w:cs="Arial"/>
                <w:lang w:val="en-US"/>
              </w:rPr>
              <w:t xml:space="preserve"> </w:t>
            </w:r>
            <w:r w:rsidRPr="00295D4D">
              <w:rPr>
                <w:rFonts w:ascii="Verdana" w:hAnsi="Verdana" w:cs="Arial"/>
                <w:b/>
                <w:bCs/>
                <w:lang w:val="en-US"/>
              </w:rPr>
              <w:t>FACT OF THE OFFERING AND THE REFERENCE FORM SHOULD BE READ BEFORE ACCEPTING THE OFFER, PARTICULARLY THE PROCEDURES RELATING TO THE PAYMENT OF THE PRICE PER SHARE AND THE SETTLEMENT OF THE PRIORITY OFFERING CONTAINING THE MATERIAL FACT OF THE OFFER, AS WELL AS THE ITEMS “</w:t>
            </w:r>
            <w:r w:rsidRPr="00BE12AD">
              <w:rPr>
                <w:rFonts w:ascii="Verdana" w:hAnsi="Verdana" w:cs="Arial"/>
                <w:b/>
                <w:bCs/>
                <w:i/>
                <w:iCs/>
                <w:lang w:val="en-US"/>
              </w:rPr>
              <w:t>4. RISK FACTORS</w:t>
            </w:r>
            <w:r w:rsidRPr="00295D4D">
              <w:rPr>
                <w:rFonts w:ascii="Verdana" w:hAnsi="Verdana" w:cs="Arial"/>
                <w:b/>
                <w:bCs/>
                <w:lang w:val="en-US"/>
              </w:rPr>
              <w:t>”, “</w:t>
            </w:r>
            <w:r w:rsidRPr="00BE12AD">
              <w:rPr>
                <w:rFonts w:ascii="Verdana" w:hAnsi="Verdana" w:cs="Arial"/>
                <w:b/>
                <w:bCs/>
                <w:i/>
                <w:iCs/>
                <w:lang w:val="en-US"/>
              </w:rPr>
              <w:t xml:space="preserve">12. SHARE CAPITAL </w:t>
            </w:r>
            <w:r w:rsidRPr="00BE12AD">
              <w:rPr>
                <w:rFonts w:ascii="Verdana" w:hAnsi="Verdana" w:cs="Arial"/>
                <w:b/>
                <w:bCs/>
                <w:i/>
                <w:iCs/>
                <w:lang w:val="en-US"/>
              </w:rPr>
              <w:lastRenderedPageBreak/>
              <w:t>AND TRANSFERABLE SECURITIES</w:t>
            </w:r>
            <w:r w:rsidRPr="00295D4D">
              <w:rPr>
                <w:rFonts w:ascii="Verdana" w:hAnsi="Verdana" w:cs="Arial"/>
                <w:b/>
                <w:bCs/>
                <w:lang w:val="en-US"/>
              </w:rPr>
              <w:t>” THAT ARE CONTAINED IN THE COMPANY'S REFERENCE FORM, FOR A DESCRIPTION OF CERTAIN RISK FACTORS RELATED TO THE SUBSCRIPTION OF SHARES WHICH SHOULD BE TAKEN INTO ACCOUNT WHEN MAKING A DECISION ON THE INVESTMENT.</w:t>
            </w:r>
          </w:p>
        </w:tc>
      </w:tr>
      <w:tr w:rsidR="00D81D3D" w:rsidRPr="00016DC5" w14:paraId="5D3B5D01" w14:textId="77777777" w:rsidTr="00BE12AD">
        <w:trPr>
          <w:trHeight w:val="20"/>
          <w:jc w:val="center"/>
        </w:trPr>
        <w:tc>
          <w:tcPr>
            <w:tcW w:w="5382" w:type="dxa"/>
          </w:tcPr>
          <w:p w14:paraId="589682AC" w14:textId="77777777" w:rsidR="00D81D3D" w:rsidRPr="00295D4D" w:rsidRDefault="00D81D3D" w:rsidP="00D81D3D">
            <w:pPr>
              <w:pStyle w:val="Corpodetexto"/>
              <w:tabs>
                <w:tab w:val="left" w:pos="0"/>
                <w:tab w:val="left" w:pos="817"/>
              </w:tabs>
              <w:spacing w:line="320" w:lineRule="exact"/>
              <w:jc w:val="both"/>
              <w:rPr>
                <w:rFonts w:ascii="Verdana" w:hAnsi="Verdana" w:cs="Arial"/>
                <w:b/>
                <w:bCs/>
                <w:lang w:val="en-US"/>
              </w:rPr>
            </w:pPr>
          </w:p>
        </w:tc>
        <w:tc>
          <w:tcPr>
            <w:tcW w:w="5168" w:type="dxa"/>
          </w:tcPr>
          <w:p w14:paraId="211FD501" w14:textId="77777777" w:rsidR="00D81D3D" w:rsidRPr="00295D4D" w:rsidRDefault="00D81D3D" w:rsidP="00D81D3D">
            <w:pPr>
              <w:pStyle w:val="Corpodetexto"/>
              <w:tabs>
                <w:tab w:val="left" w:pos="0"/>
                <w:tab w:val="left" w:pos="817"/>
              </w:tabs>
              <w:spacing w:line="320" w:lineRule="exact"/>
              <w:jc w:val="both"/>
              <w:rPr>
                <w:rFonts w:ascii="Verdana" w:hAnsi="Verdana" w:cs="Arial"/>
                <w:b/>
                <w:bCs/>
                <w:lang w:val="en-US"/>
              </w:rPr>
            </w:pPr>
          </w:p>
        </w:tc>
      </w:tr>
      <w:tr w:rsidR="00D81D3D" w:rsidRPr="00016DC5" w14:paraId="61713642" w14:textId="77777777" w:rsidTr="00BE12AD">
        <w:trPr>
          <w:trHeight w:val="20"/>
          <w:jc w:val="center"/>
        </w:trPr>
        <w:tc>
          <w:tcPr>
            <w:tcW w:w="5382" w:type="dxa"/>
          </w:tcPr>
          <w:p w14:paraId="496BE0CE" w14:textId="063F65D6" w:rsidR="00D81D3D" w:rsidRPr="00295D4D" w:rsidRDefault="00D81D3D" w:rsidP="00D81D3D">
            <w:pPr>
              <w:pStyle w:val="Corpodetexto"/>
              <w:tabs>
                <w:tab w:val="left" w:pos="817"/>
              </w:tabs>
              <w:spacing w:line="320" w:lineRule="exact"/>
              <w:jc w:val="both"/>
              <w:rPr>
                <w:rFonts w:ascii="Verdana" w:hAnsi="Verdana" w:cs="Arial"/>
                <w:b/>
                <w:bCs/>
              </w:rPr>
            </w:pPr>
            <w:r w:rsidRPr="00295D4D">
              <w:rPr>
                <w:rFonts w:ascii="Verdana" w:hAnsi="Verdana" w:cs="Arial"/>
                <w:b/>
                <w:bCs/>
              </w:rPr>
              <w:t xml:space="preserve">A Oferta foi protocolada perante a CVM para obtenção do registro automático em </w:t>
            </w:r>
            <w:r w:rsidR="00591CF4">
              <w:rPr>
                <w:rFonts w:ascii="Verdana" w:hAnsi="Verdana" w:cs="Arial"/>
                <w:b/>
                <w:bCs/>
              </w:rPr>
              <w:t>3</w:t>
            </w:r>
            <w:r w:rsidR="00591CF4" w:rsidRPr="00DF2149">
              <w:rPr>
                <w:rFonts w:ascii="Verdana" w:hAnsi="Verdana" w:cs="Arial"/>
                <w:b/>
                <w:bCs/>
              </w:rPr>
              <w:t xml:space="preserve"> </w:t>
            </w:r>
            <w:r w:rsidRPr="00DF2149">
              <w:rPr>
                <w:rFonts w:ascii="Verdana" w:hAnsi="Verdana" w:cs="Arial"/>
                <w:b/>
                <w:bCs/>
              </w:rPr>
              <w:t xml:space="preserve">de </w:t>
            </w:r>
            <w:r>
              <w:rPr>
                <w:rFonts w:ascii="Verdana" w:hAnsi="Verdana" w:cs="Arial"/>
                <w:b/>
                <w:bCs/>
              </w:rPr>
              <w:t>fevereiro</w:t>
            </w:r>
            <w:r w:rsidRPr="00DF2149">
              <w:rPr>
                <w:rFonts w:ascii="Verdana" w:hAnsi="Verdana" w:cs="Arial"/>
                <w:b/>
                <w:bCs/>
              </w:rPr>
              <w:t xml:space="preserve"> de 2026</w:t>
            </w:r>
            <w:r w:rsidRPr="00295D4D">
              <w:rPr>
                <w:rFonts w:ascii="Verdana" w:hAnsi="Verdana" w:cs="Arial"/>
                <w:b/>
                <w:bCs/>
              </w:rPr>
              <w:t xml:space="preserve">, conforme previsto na Resolução CVM 160, sendo destinada exclusivamente aos Acionistas, no contexto da Oferta Prioritária, e aos Investidores Profissionais, no contexto da Oferta Institucional. O registro da Oferta não implica, por parte da CVM ou da ANBIMA, na garantia de veracidade das informações prestadas ou julgamento sobre a qualidade da Companhia, bem como sobre os valores mobiliários a serem distribuídos. A Oferta não será objeto de análise prévia pela CVM, pela ANBIMA ou por qualquer entidade reguladora ou autorreguladora. Contudo, após a divulgação do Anúncio de Encerramento da Oferta, a Oferta será objeto de registro na ANBIMA, conforme artigo 19 do Código ANBIMA e artigos 15 e 16 das Regras e Procedimentos. A Companhia e o Coordenador da Oferta não pretendem realizar nenhum registro da Oferta ou das Ações nos Estados Unidos e nem em qualquer agência ou órgão regulador do mercado de capitais de qualquer outro país. </w:t>
            </w:r>
          </w:p>
        </w:tc>
        <w:tc>
          <w:tcPr>
            <w:tcW w:w="5168" w:type="dxa"/>
          </w:tcPr>
          <w:p w14:paraId="4A9C18D3" w14:textId="2DBD8D3C" w:rsidR="00D81D3D" w:rsidRPr="00295D4D" w:rsidRDefault="00D81D3D" w:rsidP="00D81D3D">
            <w:pPr>
              <w:pStyle w:val="Corpodetexto"/>
              <w:tabs>
                <w:tab w:val="left" w:pos="817"/>
              </w:tabs>
              <w:spacing w:line="320" w:lineRule="exact"/>
              <w:jc w:val="both"/>
              <w:rPr>
                <w:rFonts w:ascii="Verdana" w:hAnsi="Verdana" w:cs="Arial"/>
                <w:b/>
                <w:bCs/>
                <w:lang w:val="en-US"/>
              </w:rPr>
            </w:pPr>
            <w:r w:rsidRPr="00295D4D">
              <w:rPr>
                <w:rFonts w:ascii="Verdana" w:hAnsi="Verdana" w:cs="Arial"/>
                <w:b/>
                <w:bCs/>
                <w:lang w:val="en-US"/>
              </w:rPr>
              <w:t xml:space="preserve">The Offering has been filed for registration with CVM under the automatic registration on </w:t>
            </w:r>
            <w:r>
              <w:rPr>
                <w:rFonts w:ascii="Verdana" w:hAnsi="Verdana" w:cs="Arial"/>
                <w:b/>
                <w:bCs/>
                <w:lang w:val="en-US"/>
              </w:rPr>
              <w:t xml:space="preserve">February </w:t>
            </w:r>
            <w:r w:rsidR="00591CF4">
              <w:rPr>
                <w:rFonts w:ascii="Verdana" w:hAnsi="Verdana" w:cs="Arial"/>
                <w:b/>
                <w:bCs/>
                <w:lang w:val="en-US"/>
              </w:rPr>
              <w:t>3</w:t>
            </w:r>
            <w:r w:rsidR="00591CF4">
              <w:rPr>
                <w:rFonts w:ascii="Verdana" w:hAnsi="Verdana" w:cs="Arial"/>
                <w:b/>
                <w:bCs/>
                <w:vertAlign w:val="superscript"/>
                <w:lang w:val="en-US"/>
              </w:rPr>
              <w:t>rd</w:t>
            </w:r>
            <w:r w:rsidRPr="00295D4D">
              <w:rPr>
                <w:rFonts w:ascii="Verdana" w:hAnsi="Verdana" w:cs="Arial"/>
                <w:b/>
                <w:bCs/>
                <w:lang w:val="en-US"/>
              </w:rPr>
              <w:t>, 202</w:t>
            </w:r>
            <w:r>
              <w:rPr>
                <w:rFonts w:ascii="Verdana" w:hAnsi="Verdana" w:cs="Arial"/>
                <w:b/>
                <w:bCs/>
                <w:lang w:val="en-US"/>
              </w:rPr>
              <w:t>6</w:t>
            </w:r>
            <w:r w:rsidRPr="00295D4D">
              <w:rPr>
                <w:rFonts w:ascii="Verdana" w:hAnsi="Verdana" w:cs="Arial"/>
                <w:b/>
                <w:bCs/>
                <w:lang w:val="en-US"/>
              </w:rPr>
              <w:t xml:space="preserve">, as set forth on CVM Resolution 160, being intended exclusively for Shareholders, in the context of the Priority Offering, and for Professional Investors, in the context of the Institutional Offering. The Offering registration does not imply, from CVM or ANBIMA, any assurance or judgment regarding the Company nor its Shares. The Offering will not be subject to a prior analysis by the CVM, the ANBIMA or by any regulatory or self-regulating entity. However, after the Offer's closing announcement, the Offering will be registered with ANBIMA in accordance with article 19 of the ANBIMA Code and articles 15 and 16 of Rules and Procedures. The Company and the Underwriter do not intend to make any registration of the Offering or the Shares in the United States nor in any capital markets agency or regulatory body from any other country. </w:t>
            </w:r>
          </w:p>
        </w:tc>
      </w:tr>
      <w:tr w:rsidR="00D81D3D" w:rsidRPr="00016DC5" w14:paraId="0913BDAE" w14:textId="77777777" w:rsidTr="00BE12AD">
        <w:trPr>
          <w:trHeight w:val="20"/>
          <w:jc w:val="center"/>
        </w:trPr>
        <w:tc>
          <w:tcPr>
            <w:tcW w:w="5382" w:type="dxa"/>
          </w:tcPr>
          <w:p w14:paraId="4F3B797D" w14:textId="77777777" w:rsidR="00D81D3D" w:rsidRPr="00295D4D" w:rsidRDefault="00D81D3D" w:rsidP="00D81D3D">
            <w:pPr>
              <w:pStyle w:val="Corpodetexto"/>
              <w:tabs>
                <w:tab w:val="left" w:pos="817"/>
              </w:tabs>
              <w:spacing w:line="320" w:lineRule="exact"/>
              <w:jc w:val="both"/>
              <w:rPr>
                <w:rFonts w:ascii="Verdana" w:hAnsi="Verdana" w:cs="Arial"/>
                <w:b/>
                <w:bCs/>
                <w:lang w:val="en-US"/>
              </w:rPr>
            </w:pPr>
          </w:p>
        </w:tc>
        <w:tc>
          <w:tcPr>
            <w:tcW w:w="5168" w:type="dxa"/>
          </w:tcPr>
          <w:p w14:paraId="37B07F63" w14:textId="77777777" w:rsidR="00D81D3D" w:rsidRPr="00295D4D" w:rsidRDefault="00D81D3D" w:rsidP="00D81D3D">
            <w:pPr>
              <w:pStyle w:val="Corpodetexto"/>
              <w:tabs>
                <w:tab w:val="left" w:pos="817"/>
              </w:tabs>
              <w:spacing w:line="320" w:lineRule="exact"/>
              <w:jc w:val="both"/>
              <w:rPr>
                <w:rFonts w:ascii="Verdana" w:hAnsi="Verdana" w:cs="Arial"/>
                <w:b/>
                <w:bCs/>
                <w:lang w:val="en-US"/>
              </w:rPr>
            </w:pPr>
          </w:p>
        </w:tc>
      </w:tr>
      <w:tr w:rsidR="00D81D3D" w:rsidRPr="00016DC5" w14:paraId="45FAF072" w14:textId="77777777" w:rsidTr="00BE12AD">
        <w:trPr>
          <w:trHeight w:val="932"/>
          <w:jc w:val="center"/>
        </w:trPr>
        <w:tc>
          <w:tcPr>
            <w:tcW w:w="5382" w:type="dxa"/>
          </w:tcPr>
          <w:p w14:paraId="55605EFA" w14:textId="1F696938" w:rsidR="00D81D3D" w:rsidRPr="00295D4D" w:rsidRDefault="00D81D3D" w:rsidP="00D81D3D">
            <w:pPr>
              <w:pStyle w:val="Corpodetexto"/>
              <w:tabs>
                <w:tab w:val="left" w:pos="0"/>
                <w:tab w:val="left" w:pos="817"/>
              </w:tabs>
              <w:spacing w:line="320" w:lineRule="exact"/>
              <w:jc w:val="both"/>
              <w:rPr>
                <w:rFonts w:ascii="Verdana" w:hAnsi="Verdana" w:cs="Arial"/>
                <w:bCs/>
              </w:rPr>
            </w:pPr>
            <w:r w:rsidRPr="00295D4D">
              <w:rPr>
                <w:rFonts w:ascii="Verdana" w:hAnsi="Verdana" w:cs="Arial"/>
                <w:bCs/>
              </w:rPr>
              <w:t xml:space="preserve">Não estão sendo ofertados ou vendidos nos Estados Unidos por meio deste Pedido de Subscrição Prioritária ou do Fato Relevante e não poderão ser ofertados ou vendidos nos Estados Unidos sem que haja registro ou isenção de registro nos termos do </w:t>
            </w:r>
            <w:r w:rsidRPr="00295D4D">
              <w:rPr>
                <w:rFonts w:ascii="Verdana" w:hAnsi="Verdana" w:cs="Arial"/>
                <w:bCs/>
                <w:i/>
              </w:rPr>
              <w:t xml:space="preserve">Securities Act </w:t>
            </w:r>
            <w:r w:rsidRPr="00295D4D">
              <w:rPr>
                <w:rFonts w:ascii="Verdana" w:hAnsi="Verdana" w:cs="Arial"/>
                <w:bCs/>
              </w:rPr>
              <w:t>(i) o direito de participar da Oferta Prioritária; e (ii) as Ações. Qualquer informação aqui contida não deverá ser levada, transmitida, divulgada, distribuída, ou disseminada nos Estados Unidos.</w:t>
            </w:r>
          </w:p>
        </w:tc>
        <w:tc>
          <w:tcPr>
            <w:tcW w:w="5168" w:type="dxa"/>
          </w:tcPr>
          <w:p w14:paraId="6D288172" w14:textId="10072C6C" w:rsidR="00D81D3D" w:rsidRPr="00295D4D" w:rsidRDefault="00D81D3D" w:rsidP="00D81D3D">
            <w:pPr>
              <w:pStyle w:val="Corpodetexto"/>
              <w:tabs>
                <w:tab w:val="left" w:pos="0"/>
                <w:tab w:val="left" w:pos="817"/>
              </w:tabs>
              <w:spacing w:line="320" w:lineRule="exact"/>
              <w:jc w:val="both"/>
              <w:rPr>
                <w:rFonts w:ascii="Verdana" w:hAnsi="Verdana" w:cs="Arial"/>
                <w:b/>
                <w:lang w:val="en-US"/>
              </w:rPr>
            </w:pPr>
            <w:r w:rsidRPr="00295D4D">
              <w:rPr>
                <w:rFonts w:ascii="Verdana" w:hAnsi="Verdana" w:cs="Arial"/>
                <w:bCs/>
                <w:lang w:val="en-US"/>
              </w:rPr>
              <w:t>It is not being offered or sold in the United States through this Order for Subscription or the Material Fact and cannot be offered or sold in the United States without the registration or registration exemption under the terms of the Securities Act (i) the right to take part in the Priority Offering; and (ii) the Shares. Any information contained herein shall not be carried, transmitted, disclosed, distributed, or disseminated in the United States.</w:t>
            </w:r>
          </w:p>
        </w:tc>
      </w:tr>
      <w:tr w:rsidR="00D81D3D" w:rsidRPr="00016DC5" w14:paraId="1EC12697" w14:textId="77777777" w:rsidTr="00BE12AD">
        <w:trPr>
          <w:trHeight w:val="20"/>
          <w:jc w:val="center"/>
        </w:trPr>
        <w:tc>
          <w:tcPr>
            <w:tcW w:w="5382" w:type="dxa"/>
          </w:tcPr>
          <w:p w14:paraId="46E70CF8" w14:textId="77777777" w:rsidR="00D81D3D" w:rsidRPr="00295D4D" w:rsidRDefault="00D81D3D" w:rsidP="00D81D3D">
            <w:pPr>
              <w:pStyle w:val="Corpodetexto"/>
              <w:tabs>
                <w:tab w:val="left" w:pos="817"/>
              </w:tabs>
              <w:spacing w:line="320" w:lineRule="exact"/>
              <w:jc w:val="both"/>
              <w:rPr>
                <w:rFonts w:ascii="Verdana" w:hAnsi="Verdana" w:cs="Arial"/>
                <w:b/>
                <w:bCs/>
                <w:lang w:val="en-US"/>
              </w:rPr>
            </w:pPr>
          </w:p>
        </w:tc>
        <w:tc>
          <w:tcPr>
            <w:tcW w:w="5168" w:type="dxa"/>
          </w:tcPr>
          <w:p w14:paraId="28E971D8" w14:textId="77777777" w:rsidR="00D81D3D" w:rsidRPr="00295D4D" w:rsidRDefault="00D81D3D" w:rsidP="00D81D3D">
            <w:pPr>
              <w:pStyle w:val="Corpodetexto"/>
              <w:tabs>
                <w:tab w:val="left" w:pos="817"/>
              </w:tabs>
              <w:spacing w:line="320" w:lineRule="exact"/>
              <w:jc w:val="both"/>
              <w:rPr>
                <w:rFonts w:ascii="Verdana" w:hAnsi="Verdana" w:cs="Arial"/>
                <w:b/>
                <w:bCs/>
                <w:lang w:val="en-US"/>
              </w:rPr>
            </w:pPr>
          </w:p>
        </w:tc>
      </w:tr>
      <w:tr w:rsidR="00D81D3D" w:rsidRPr="00016DC5" w14:paraId="79FDDB15" w14:textId="77777777" w:rsidTr="00BE12AD">
        <w:trPr>
          <w:trHeight w:val="20"/>
          <w:jc w:val="center"/>
        </w:trPr>
        <w:tc>
          <w:tcPr>
            <w:tcW w:w="5382" w:type="dxa"/>
          </w:tcPr>
          <w:p w14:paraId="72F22E64" w14:textId="77777777" w:rsidR="00D81D3D" w:rsidRPr="00295D4D" w:rsidRDefault="00D81D3D" w:rsidP="00D81D3D">
            <w:pPr>
              <w:pStyle w:val="Corpodetexto"/>
              <w:tabs>
                <w:tab w:val="left" w:pos="0"/>
                <w:tab w:val="left" w:pos="817"/>
              </w:tabs>
              <w:spacing w:line="320" w:lineRule="exact"/>
              <w:jc w:val="both"/>
              <w:rPr>
                <w:rFonts w:ascii="Verdana" w:hAnsi="Verdana" w:cs="Arial"/>
                <w:bCs/>
              </w:rPr>
            </w:pPr>
            <w:r w:rsidRPr="00295D4D">
              <w:rPr>
                <w:rFonts w:ascii="Verdana" w:hAnsi="Verdana" w:cs="Arial"/>
                <w:bCs/>
              </w:rPr>
              <w:t xml:space="preserve">Exceto quando especificamente definidos neste Pedido de Subscrição Prioritária, os termos aqui utilizados iniciados </w:t>
            </w:r>
            <w:r w:rsidRPr="00295D4D">
              <w:rPr>
                <w:rFonts w:ascii="Verdana" w:hAnsi="Verdana" w:cs="Arial"/>
                <w:bCs/>
              </w:rPr>
              <w:lastRenderedPageBreak/>
              <w:t>em letra maiúscula terão o significado a eles atribuído no Fato Relevante da Oferta.</w:t>
            </w:r>
          </w:p>
        </w:tc>
        <w:tc>
          <w:tcPr>
            <w:tcW w:w="5168" w:type="dxa"/>
          </w:tcPr>
          <w:p w14:paraId="4FEAB3BB" w14:textId="77777777" w:rsidR="00D81D3D" w:rsidRPr="00295D4D" w:rsidRDefault="00D81D3D" w:rsidP="00D81D3D">
            <w:pPr>
              <w:pStyle w:val="Corpodetexto"/>
              <w:tabs>
                <w:tab w:val="left" w:pos="0"/>
                <w:tab w:val="left" w:pos="817"/>
              </w:tabs>
              <w:spacing w:line="320" w:lineRule="exact"/>
              <w:jc w:val="both"/>
              <w:rPr>
                <w:rFonts w:ascii="Verdana" w:hAnsi="Verdana" w:cs="Arial"/>
                <w:bCs/>
                <w:lang w:val="en-US"/>
              </w:rPr>
            </w:pPr>
            <w:r w:rsidRPr="00295D4D">
              <w:rPr>
                <w:rFonts w:ascii="Verdana" w:hAnsi="Verdana" w:cs="Arial"/>
                <w:lang w:val="en-US"/>
              </w:rPr>
              <w:lastRenderedPageBreak/>
              <w:t xml:space="preserve">The terms used here in capital letters will have the meaning assigned to them in the Material Fact of the </w:t>
            </w:r>
            <w:r w:rsidRPr="00295D4D">
              <w:rPr>
                <w:rFonts w:ascii="Verdana" w:hAnsi="Verdana" w:cs="Arial"/>
                <w:lang w:val="en-US"/>
              </w:rPr>
              <w:lastRenderedPageBreak/>
              <w:t>Offer, except as specifically set forth in this Priority Subscription Order</w:t>
            </w:r>
            <w:r w:rsidRPr="00295D4D">
              <w:rPr>
                <w:rFonts w:ascii="Verdana" w:hAnsi="Verdana" w:cs="Arial"/>
                <w:bCs/>
                <w:lang w:val="en-US"/>
              </w:rPr>
              <w:t>.</w:t>
            </w:r>
          </w:p>
        </w:tc>
      </w:tr>
      <w:tr w:rsidR="00D81D3D" w:rsidRPr="00016DC5" w14:paraId="0F244D95" w14:textId="77777777" w:rsidTr="00BE12AD">
        <w:trPr>
          <w:trHeight w:val="20"/>
          <w:jc w:val="center"/>
        </w:trPr>
        <w:tc>
          <w:tcPr>
            <w:tcW w:w="5382" w:type="dxa"/>
          </w:tcPr>
          <w:p w14:paraId="1ACA9FC7" w14:textId="77777777" w:rsidR="00D81D3D" w:rsidRPr="00295D4D" w:rsidRDefault="00D81D3D" w:rsidP="00D81D3D">
            <w:pPr>
              <w:pStyle w:val="Corpodetexto"/>
              <w:tabs>
                <w:tab w:val="left" w:pos="0"/>
                <w:tab w:val="left" w:pos="817"/>
              </w:tabs>
              <w:spacing w:line="320" w:lineRule="exact"/>
              <w:rPr>
                <w:rFonts w:ascii="Verdana" w:hAnsi="Verdana" w:cs="Arial"/>
                <w:b/>
                <w:lang w:val="en-US"/>
              </w:rPr>
            </w:pPr>
          </w:p>
        </w:tc>
        <w:tc>
          <w:tcPr>
            <w:tcW w:w="5168" w:type="dxa"/>
          </w:tcPr>
          <w:p w14:paraId="6A60658A" w14:textId="77777777" w:rsidR="00D81D3D" w:rsidRPr="00295D4D" w:rsidRDefault="00D81D3D" w:rsidP="00D81D3D">
            <w:pPr>
              <w:pStyle w:val="Corpodetexto"/>
              <w:tabs>
                <w:tab w:val="left" w:pos="0"/>
                <w:tab w:val="left" w:pos="817"/>
              </w:tabs>
              <w:spacing w:line="320" w:lineRule="exact"/>
              <w:rPr>
                <w:rFonts w:ascii="Verdana" w:hAnsi="Verdana" w:cs="Arial"/>
                <w:b/>
                <w:lang w:val="en-US"/>
              </w:rPr>
            </w:pPr>
          </w:p>
        </w:tc>
      </w:tr>
      <w:tr w:rsidR="00D81D3D" w:rsidRPr="0014194B" w14:paraId="1A9A083A" w14:textId="77777777" w:rsidTr="00BE12AD">
        <w:trPr>
          <w:trHeight w:val="20"/>
          <w:jc w:val="center"/>
        </w:trPr>
        <w:tc>
          <w:tcPr>
            <w:tcW w:w="5382" w:type="dxa"/>
          </w:tcPr>
          <w:p w14:paraId="7EC0F690" w14:textId="77777777" w:rsidR="00D81D3D" w:rsidRPr="00295D4D" w:rsidRDefault="00D81D3D" w:rsidP="00D81D3D">
            <w:pPr>
              <w:pStyle w:val="Ttulo1"/>
              <w:tabs>
                <w:tab w:val="left" w:pos="817"/>
              </w:tabs>
              <w:spacing w:line="320" w:lineRule="exact"/>
              <w:rPr>
                <w:rFonts w:ascii="Verdana" w:hAnsi="Verdana" w:cs="Arial"/>
                <w:sz w:val="18"/>
                <w:szCs w:val="18"/>
              </w:rPr>
            </w:pPr>
            <w:r w:rsidRPr="00295D4D">
              <w:rPr>
                <w:rFonts w:ascii="Verdana" w:hAnsi="Verdana" w:cs="Arial"/>
                <w:sz w:val="18"/>
                <w:szCs w:val="18"/>
              </w:rPr>
              <w:t>QUALIFICAÇÃO DO SUBSCRITOR</w:t>
            </w:r>
          </w:p>
        </w:tc>
        <w:tc>
          <w:tcPr>
            <w:tcW w:w="5168" w:type="dxa"/>
          </w:tcPr>
          <w:p w14:paraId="4BBFDD4F" w14:textId="77777777" w:rsidR="00D81D3D" w:rsidRPr="00295D4D" w:rsidRDefault="00D81D3D" w:rsidP="00D81D3D">
            <w:pPr>
              <w:pStyle w:val="Ttulo1"/>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QUALIFICATION OF THE SUBSCRIBER</w:t>
            </w:r>
          </w:p>
        </w:tc>
      </w:tr>
      <w:tr w:rsidR="00D81D3D" w:rsidRPr="0014194B" w14:paraId="514E5309" w14:textId="77777777" w:rsidTr="00BE12AD">
        <w:trPr>
          <w:trHeight w:val="20"/>
          <w:jc w:val="center"/>
        </w:trPr>
        <w:tc>
          <w:tcPr>
            <w:tcW w:w="5382" w:type="dxa"/>
            <w:tcBorders>
              <w:bottom w:val="single" w:sz="4" w:space="0" w:color="auto"/>
            </w:tcBorders>
          </w:tcPr>
          <w:p w14:paraId="223A5B75" w14:textId="77777777" w:rsidR="00D81D3D" w:rsidRPr="00295D4D" w:rsidRDefault="00D81D3D" w:rsidP="00D81D3D">
            <w:pPr>
              <w:tabs>
                <w:tab w:val="left" w:pos="817"/>
              </w:tabs>
              <w:spacing w:line="320" w:lineRule="exact"/>
              <w:rPr>
                <w:rFonts w:ascii="Verdana" w:hAnsi="Verdana" w:cs="Arial"/>
                <w:sz w:val="18"/>
                <w:szCs w:val="18"/>
              </w:rPr>
            </w:pPr>
          </w:p>
        </w:tc>
        <w:tc>
          <w:tcPr>
            <w:tcW w:w="5168" w:type="dxa"/>
            <w:tcBorders>
              <w:bottom w:val="single" w:sz="4" w:space="0" w:color="auto"/>
            </w:tcBorders>
          </w:tcPr>
          <w:p w14:paraId="33D36ECC" w14:textId="77777777" w:rsidR="00D81D3D" w:rsidRPr="00295D4D" w:rsidRDefault="00D81D3D" w:rsidP="00D81D3D">
            <w:pPr>
              <w:tabs>
                <w:tab w:val="left" w:pos="817"/>
              </w:tabs>
              <w:spacing w:line="320" w:lineRule="exact"/>
              <w:rPr>
                <w:rFonts w:ascii="Verdana" w:hAnsi="Verdana" w:cs="Arial"/>
                <w:sz w:val="18"/>
                <w:szCs w:val="18"/>
                <w:lang w:val="en-US"/>
              </w:rPr>
            </w:pPr>
          </w:p>
        </w:tc>
      </w:tr>
      <w:tr w:rsidR="00D81D3D" w:rsidRPr="0014194B" w14:paraId="31871497" w14:textId="77777777" w:rsidTr="00BE12AD">
        <w:trPr>
          <w:trHeight w:val="20"/>
          <w:jc w:val="center"/>
        </w:trPr>
        <w:tc>
          <w:tcPr>
            <w:tcW w:w="5382" w:type="dxa"/>
            <w:tcBorders>
              <w:top w:val="single" w:sz="4" w:space="0" w:color="auto"/>
              <w:bottom w:val="nil"/>
            </w:tcBorders>
          </w:tcPr>
          <w:p w14:paraId="44D472AF" w14:textId="7777777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rPr>
              <w:t>1. Nome Completo/Razão Social:</w:t>
            </w:r>
          </w:p>
          <w:sdt>
            <w:sdtPr>
              <w:rPr>
                <w:rFonts w:ascii="Verdana" w:hAnsi="Verdana" w:cs="Arial"/>
                <w:sz w:val="18"/>
                <w:szCs w:val="18"/>
                <w:highlight w:val="lightGray"/>
              </w:rPr>
              <w:id w:val="-1995095300"/>
              <w:placeholder>
                <w:docPart w:val="DefaultPlaceholder_-1854013440"/>
              </w:placeholder>
            </w:sdtPr>
            <w:sdtContent>
              <w:p w14:paraId="25408B6D" w14:textId="44B14AD8"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Borders>
              <w:top w:val="single" w:sz="4" w:space="0" w:color="auto"/>
              <w:bottom w:val="nil"/>
            </w:tcBorders>
          </w:tcPr>
          <w:p w14:paraId="3831A4FF" w14:textId="7777777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1. Full Name/ Corporate Name:</w:t>
            </w:r>
          </w:p>
          <w:sdt>
            <w:sdtPr>
              <w:rPr>
                <w:rFonts w:ascii="Verdana" w:hAnsi="Verdana" w:cs="Arial"/>
                <w:sz w:val="18"/>
                <w:szCs w:val="18"/>
                <w:highlight w:val="lightGray"/>
              </w:rPr>
              <w:id w:val="-1632785523"/>
              <w:placeholder>
                <w:docPart w:val="DefaultPlaceholder_-1854013440"/>
              </w:placeholder>
            </w:sdtPr>
            <w:sdtContent>
              <w:p w14:paraId="6393A0A7" w14:textId="01E1D28C"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D81D3D" w:rsidRPr="0014194B" w14:paraId="0120F049" w14:textId="77777777" w:rsidTr="00BE12AD">
        <w:trPr>
          <w:trHeight w:val="20"/>
          <w:jc w:val="center"/>
        </w:trPr>
        <w:tc>
          <w:tcPr>
            <w:tcW w:w="5382" w:type="dxa"/>
            <w:tcBorders>
              <w:top w:val="single" w:sz="4" w:space="0" w:color="auto"/>
              <w:bottom w:val="nil"/>
            </w:tcBorders>
          </w:tcPr>
          <w:p w14:paraId="262DAA3E" w14:textId="7777777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rPr>
              <w:t>2. Nome do Cônjuge:</w:t>
            </w:r>
          </w:p>
          <w:sdt>
            <w:sdtPr>
              <w:rPr>
                <w:rFonts w:ascii="Verdana" w:hAnsi="Verdana" w:cs="Arial"/>
                <w:sz w:val="18"/>
                <w:szCs w:val="18"/>
                <w:highlight w:val="lightGray"/>
              </w:rPr>
              <w:id w:val="1932772479"/>
              <w:placeholder>
                <w:docPart w:val="DefaultPlaceholder_-1854013440"/>
              </w:placeholder>
            </w:sdtPr>
            <w:sdtContent>
              <w:p w14:paraId="40E8C7A4" w14:textId="38D76066"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Borders>
              <w:top w:val="single" w:sz="4" w:space="0" w:color="auto"/>
              <w:bottom w:val="nil"/>
            </w:tcBorders>
          </w:tcPr>
          <w:p w14:paraId="3D3FC47B" w14:textId="7777777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2. Spouse's Name:</w:t>
            </w:r>
          </w:p>
          <w:sdt>
            <w:sdtPr>
              <w:rPr>
                <w:rFonts w:ascii="Verdana" w:hAnsi="Verdana" w:cs="Arial"/>
                <w:sz w:val="18"/>
                <w:szCs w:val="18"/>
                <w:highlight w:val="lightGray"/>
              </w:rPr>
              <w:id w:val="-1091693456"/>
              <w:placeholder>
                <w:docPart w:val="DefaultPlaceholder_-1854013440"/>
              </w:placeholder>
            </w:sdtPr>
            <w:sdtContent>
              <w:p w14:paraId="52617DB8" w14:textId="675C6ABC"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D81D3D" w:rsidRPr="00016DC5" w14:paraId="68D26376" w14:textId="77777777" w:rsidTr="00BE12AD">
        <w:trPr>
          <w:trHeight w:val="20"/>
          <w:jc w:val="center"/>
        </w:trPr>
        <w:tc>
          <w:tcPr>
            <w:tcW w:w="5382" w:type="dxa"/>
            <w:tcBorders>
              <w:top w:val="single" w:sz="4" w:space="0" w:color="auto"/>
              <w:bottom w:val="nil"/>
            </w:tcBorders>
          </w:tcPr>
          <w:p w14:paraId="67AEDE55" w14:textId="7777777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rPr>
              <w:t>3. CPF/CNPJ:</w:t>
            </w:r>
          </w:p>
        </w:tc>
        <w:tc>
          <w:tcPr>
            <w:tcW w:w="5168" w:type="dxa"/>
            <w:tcBorders>
              <w:top w:val="single" w:sz="4" w:space="0" w:color="auto"/>
              <w:bottom w:val="nil"/>
            </w:tcBorders>
          </w:tcPr>
          <w:p w14:paraId="3A945D77" w14:textId="7777777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3. CPF (Individual Taxpayer)/CNPJ (Corporate Taxpayer):</w:t>
            </w:r>
          </w:p>
        </w:tc>
      </w:tr>
      <w:tr w:rsidR="00D81D3D" w:rsidRPr="0014194B" w14:paraId="13F37C32" w14:textId="77777777" w:rsidTr="00BE12AD">
        <w:trPr>
          <w:trHeight w:val="20"/>
          <w:jc w:val="center"/>
        </w:trPr>
        <w:tc>
          <w:tcPr>
            <w:tcW w:w="5382" w:type="dxa"/>
            <w:tcBorders>
              <w:top w:val="nil"/>
              <w:bottom w:val="single" w:sz="4" w:space="0" w:color="auto"/>
            </w:tcBorders>
          </w:tcPr>
          <w:sdt>
            <w:sdtPr>
              <w:rPr>
                <w:rFonts w:ascii="Verdana" w:hAnsi="Verdana" w:cs="Arial"/>
                <w:sz w:val="18"/>
                <w:szCs w:val="18"/>
                <w:highlight w:val="lightGray"/>
              </w:rPr>
              <w:id w:val="-1055082466"/>
              <w:placeholder>
                <w:docPart w:val="DefaultPlaceholder_-1854013440"/>
              </w:placeholder>
            </w:sdtPr>
            <w:sdtContent>
              <w:p w14:paraId="6A3E9FC6" w14:textId="58160A1C"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c>
          <w:tcPr>
            <w:tcW w:w="5168" w:type="dxa"/>
            <w:tcBorders>
              <w:top w:val="nil"/>
              <w:bottom w:val="single" w:sz="4" w:space="0" w:color="auto"/>
            </w:tcBorders>
          </w:tcPr>
          <w:sdt>
            <w:sdtPr>
              <w:rPr>
                <w:rFonts w:ascii="Verdana" w:hAnsi="Verdana" w:cs="Arial"/>
                <w:sz w:val="18"/>
                <w:szCs w:val="18"/>
                <w:highlight w:val="lightGray"/>
              </w:rPr>
              <w:id w:val="-863742409"/>
              <w:placeholder>
                <w:docPart w:val="DefaultPlaceholder_-1854013440"/>
              </w:placeholder>
            </w:sdtPr>
            <w:sdtContent>
              <w:p w14:paraId="7F845D12" w14:textId="0217CDE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D81D3D" w:rsidRPr="0014194B" w14:paraId="5A45616B" w14:textId="77777777" w:rsidTr="00BE12AD">
        <w:trPr>
          <w:trHeight w:val="20"/>
          <w:jc w:val="center"/>
        </w:trPr>
        <w:tc>
          <w:tcPr>
            <w:tcW w:w="5382" w:type="dxa"/>
            <w:tcBorders>
              <w:top w:val="single" w:sz="4" w:space="0" w:color="auto"/>
              <w:bottom w:val="nil"/>
            </w:tcBorders>
          </w:tcPr>
          <w:p w14:paraId="7EF038FE" w14:textId="7777777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rPr>
              <w:t>4. Estado Civil:</w:t>
            </w:r>
          </w:p>
        </w:tc>
        <w:tc>
          <w:tcPr>
            <w:tcW w:w="5168" w:type="dxa"/>
            <w:tcBorders>
              <w:top w:val="single" w:sz="4" w:space="0" w:color="auto"/>
              <w:bottom w:val="nil"/>
            </w:tcBorders>
          </w:tcPr>
          <w:p w14:paraId="60C75644" w14:textId="7777777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4. Marital Status:</w:t>
            </w:r>
          </w:p>
        </w:tc>
      </w:tr>
      <w:tr w:rsidR="00D81D3D" w:rsidRPr="0014194B" w14:paraId="4FBD41A2" w14:textId="77777777" w:rsidTr="00BE12AD">
        <w:trPr>
          <w:trHeight w:val="20"/>
          <w:jc w:val="center"/>
        </w:trPr>
        <w:tc>
          <w:tcPr>
            <w:tcW w:w="5382" w:type="dxa"/>
            <w:tcBorders>
              <w:top w:val="nil"/>
              <w:bottom w:val="single" w:sz="4" w:space="0" w:color="auto"/>
            </w:tcBorders>
          </w:tcPr>
          <w:sdt>
            <w:sdtPr>
              <w:rPr>
                <w:rFonts w:ascii="Verdana" w:hAnsi="Verdana" w:cs="Arial"/>
                <w:sz w:val="18"/>
                <w:szCs w:val="18"/>
                <w:highlight w:val="lightGray"/>
              </w:rPr>
              <w:id w:val="1074859629"/>
              <w:placeholder>
                <w:docPart w:val="DefaultPlaceholder_-1854013440"/>
              </w:placeholder>
            </w:sdtPr>
            <w:sdtContent>
              <w:p w14:paraId="32B7233C" w14:textId="4BBCAB69"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Borders>
              <w:top w:val="nil"/>
              <w:bottom w:val="single" w:sz="4" w:space="0" w:color="auto"/>
            </w:tcBorders>
          </w:tcPr>
          <w:sdt>
            <w:sdtPr>
              <w:rPr>
                <w:rFonts w:ascii="Verdana" w:hAnsi="Verdana" w:cs="Arial"/>
                <w:sz w:val="18"/>
                <w:szCs w:val="18"/>
                <w:highlight w:val="lightGray"/>
              </w:rPr>
              <w:id w:val="1928064665"/>
              <w:placeholder>
                <w:docPart w:val="DefaultPlaceholder_-1854013440"/>
              </w:placeholder>
            </w:sdtPr>
            <w:sdtContent>
              <w:p w14:paraId="36CF74B6" w14:textId="1BF5A2DE"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D81D3D" w:rsidRPr="0014194B" w14:paraId="5AA84119" w14:textId="77777777" w:rsidTr="00BE12AD">
        <w:trPr>
          <w:trHeight w:val="20"/>
          <w:jc w:val="center"/>
        </w:trPr>
        <w:tc>
          <w:tcPr>
            <w:tcW w:w="5382" w:type="dxa"/>
            <w:tcBorders>
              <w:top w:val="single" w:sz="4" w:space="0" w:color="auto"/>
              <w:bottom w:val="nil"/>
            </w:tcBorders>
          </w:tcPr>
          <w:p w14:paraId="2A8BC3B0" w14:textId="7777777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rPr>
              <w:t>5. Sexo:</w:t>
            </w:r>
          </w:p>
        </w:tc>
        <w:tc>
          <w:tcPr>
            <w:tcW w:w="5168" w:type="dxa"/>
            <w:tcBorders>
              <w:top w:val="single" w:sz="4" w:space="0" w:color="auto"/>
              <w:bottom w:val="nil"/>
            </w:tcBorders>
          </w:tcPr>
          <w:p w14:paraId="4EDEF6A0" w14:textId="7777777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5. Gender:</w:t>
            </w:r>
          </w:p>
        </w:tc>
      </w:tr>
      <w:tr w:rsidR="00D81D3D" w:rsidRPr="0014194B" w14:paraId="5F4B7662" w14:textId="77777777" w:rsidTr="00BE12AD">
        <w:trPr>
          <w:trHeight w:val="20"/>
          <w:jc w:val="center"/>
        </w:trPr>
        <w:tc>
          <w:tcPr>
            <w:tcW w:w="5382" w:type="dxa"/>
            <w:tcBorders>
              <w:top w:val="nil"/>
              <w:bottom w:val="single" w:sz="4" w:space="0" w:color="auto"/>
            </w:tcBorders>
          </w:tcPr>
          <w:sdt>
            <w:sdtPr>
              <w:rPr>
                <w:rFonts w:ascii="Verdana" w:hAnsi="Verdana" w:cs="Arial"/>
                <w:sz w:val="18"/>
                <w:szCs w:val="18"/>
                <w:highlight w:val="lightGray"/>
              </w:rPr>
              <w:id w:val="523671247"/>
              <w:placeholder>
                <w:docPart w:val="DefaultPlaceholder_-1854013440"/>
              </w:placeholder>
            </w:sdtPr>
            <w:sdtContent>
              <w:p w14:paraId="03D64848" w14:textId="5856A8EB"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Borders>
              <w:top w:val="nil"/>
              <w:bottom w:val="single" w:sz="4" w:space="0" w:color="auto"/>
            </w:tcBorders>
          </w:tcPr>
          <w:sdt>
            <w:sdtPr>
              <w:rPr>
                <w:rFonts w:ascii="Verdana" w:hAnsi="Verdana" w:cs="Arial"/>
                <w:sz w:val="18"/>
                <w:szCs w:val="18"/>
                <w:highlight w:val="lightGray"/>
              </w:rPr>
              <w:id w:val="-805086613"/>
              <w:placeholder>
                <w:docPart w:val="DefaultPlaceholder_-1854013440"/>
              </w:placeholder>
            </w:sdtPr>
            <w:sdtContent>
              <w:p w14:paraId="4E9FB0B9" w14:textId="49088C7A"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D81D3D" w:rsidRPr="0014194B" w14:paraId="168B3892" w14:textId="77777777" w:rsidTr="00BE12AD">
        <w:trPr>
          <w:trHeight w:val="20"/>
          <w:jc w:val="center"/>
        </w:trPr>
        <w:tc>
          <w:tcPr>
            <w:tcW w:w="5382" w:type="dxa"/>
            <w:tcBorders>
              <w:top w:val="single" w:sz="4" w:space="0" w:color="auto"/>
              <w:bottom w:val="nil"/>
            </w:tcBorders>
          </w:tcPr>
          <w:p w14:paraId="6D096AE3" w14:textId="7777777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rPr>
              <w:t>6. Data de Nascimento/Constituição:</w:t>
            </w:r>
          </w:p>
        </w:tc>
        <w:tc>
          <w:tcPr>
            <w:tcW w:w="5168" w:type="dxa"/>
            <w:tcBorders>
              <w:top w:val="single" w:sz="4" w:space="0" w:color="auto"/>
              <w:bottom w:val="nil"/>
            </w:tcBorders>
          </w:tcPr>
          <w:p w14:paraId="1D5665C7" w14:textId="7777777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6. Date of Birth/Constitution:</w:t>
            </w:r>
          </w:p>
        </w:tc>
      </w:tr>
      <w:tr w:rsidR="00D81D3D" w:rsidRPr="0014194B" w14:paraId="3935BA64" w14:textId="77777777" w:rsidTr="00BE12AD">
        <w:trPr>
          <w:trHeight w:val="20"/>
          <w:jc w:val="center"/>
        </w:trPr>
        <w:tc>
          <w:tcPr>
            <w:tcW w:w="5382" w:type="dxa"/>
            <w:tcBorders>
              <w:top w:val="nil"/>
              <w:bottom w:val="single" w:sz="4" w:space="0" w:color="auto"/>
            </w:tcBorders>
          </w:tcPr>
          <w:sdt>
            <w:sdtPr>
              <w:rPr>
                <w:rFonts w:ascii="Verdana" w:hAnsi="Verdana" w:cs="Arial"/>
                <w:sz w:val="18"/>
                <w:szCs w:val="18"/>
                <w:highlight w:val="lightGray"/>
              </w:rPr>
              <w:id w:val="-2125059467"/>
              <w:placeholder>
                <w:docPart w:val="DefaultPlaceholder_-1854013440"/>
              </w:placeholder>
            </w:sdtPr>
            <w:sdtContent>
              <w:p w14:paraId="7605F222" w14:textId="33C2510A"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Borders>
              <w:top w:val="nil"/>
              <w:bottom w:val="single" w:sz="4" w:space="0" w:color="auto"/>
            </w:tcBorders>
          </w:tcPr>
          <w:sdt>
            <w:sdtPr>
              <w:rPr>
                <w:rFonts w:ascii="Verdana" w:hAnsi="Verdana" w:cs="Arial"/>
                <w:sz w:val="18"/>
                <w:szCs w:val="18"/>
                <w:highlight w:val="lightGray"/>
              </w:rPr>
              <w:id w:val="-571507529"/>
              <w:placeholder>
                <w:docPart w:val="DefaultPlaceholder_-1854013440"/>
              </w:placeholder>
            </w:sdtPr>
            <w:sdtContent>
              <w:p w14:paraId="5D26EBED" w14:textId="548AE175"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D81D3D" w:rsidRPr="0014194B" w14:paraId="7982C564" w14:textId="77777777" w:rsidTr="00BE12AD">
        <w:trPr>
          <w:trHeight w:val="20"/>
          <w:jc w:val="center"/>
        </w:trPr>
        <w:tc>
          <w:tcPr>
            <w:tcW w:w="5382" w:type="dxa"/>
            <w:tcBorders>
              <w:top w:val="single" w:sz="4" w:space="0" w:color="auto"/>
              <w:bottom w:val="nil"/>
            </w:tcBorders>
          </w:tcPr>
          <w:p w14:paraId="5D3C5941" w14:textId="7777777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rPr>
              <w:t>7. Profissão:</w:t>
            </w:r>
          </w:p>
        </w:tc>
        <w:tc>
          <w:tcPr>
            <w:tcW w:w="5168" w:type="dxa"/>
            <w:tcBorders>
              <w:top w:val="single" w:sz="4" w:space="0" w:color="auto"/>
              <w:bottom w:val="nil"/>
            </w:tcBorders>
          </w:tcPr>
          <w:p w14:paraId="6F390507" w14:textId="7777777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7. Profession:</w:t>
            </w:r>
          </w:p>
        </w:tc>
      </w:tr>
      <w:tr w:rsidR="00D81D3D" w:rsidRPr="0014194B" w14:paraId="5813AA15" w14:textId="77777777" w:rsidTr="00BE12AD">
        <w:trPr>
          <w:trHeight w:val="20"/>
          <w:jc w:val="center"/>
        </w:trPr>
        <w:tc>
          <w:tcPr>
            <w:tcW w:w="5382" w:type="dxa"/>
            <w:tcBorders>
              <w:top w:val="nil"/>
              <w:bottom w:val="single" w:sz="4" w:space="0" w:color="auto"/>
            </w:tcBorders>
          </w:tcPr>
          <w:sdt>
            <w:sdtPr>
              <w:rPr>
                <w:rFonts w:ascii="Verdana" w:hAnsi="Verdana" w:cs="Arial"/>
                <w:sz w:val="18"/>
                <w:szCs w:val="18"/>
                <w:highlight w:val="lightGray"/>
              </w:rPr>
              <w:id w:val="-1405137017"/>
              <w:placeholder>
                <w:docPart w:val="DefaultPlaceholder_-1854013440"/>
              </w:placeholder>
            </w:sdtPr>
            <w:sdtContent>
              <w:p w14:paraId="28DB843E" w14:textId="1BB6FD4C"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Borders>
              <w:top w:val="nil"/>
              <w:bottom w:val="single" w:sz="4" w:space="0" w:color="auto"/>
            </w:tcBorders>
          </w:tcPr>
          <w:sdt>
            <w:sdtPr>
              <w:rPr>
                <w:rFonts w:ascii="Verdana" w:hAnsi="Verdana" w:cs="Arial"/>
                <w:sz w:val="18"/>
                <w:szCs w:val="18"/>
                <w:highlight w:val="lightGray"/>
              </w:rPr>
              <w:id w:val="214398695"/>
              <w:placeholder>
                <w:docPart w:val="DefaultPlaceholder_-1854013440"/>
              </w:placeholder>
            </w:sdtPr>
            <w:sdtContent>
              <w:p w14:paraId="086CFC31" w14:textId="26AE439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D81D3D" w:rsidRPr="0014194B" w14:paraId="1C164AE2" w14:textId="77777777" w:rsidTr="00BE12AD">
        <w:trPr>
          <w:trHeight w:val="20"/>
          <w:jc w:val="center"/>
        </w:trPr>
        <w:tc>
          <w:tcPr>
            <w:tcW w:w="5382" w:type="dxa"/>
            <w:tcBorders>
              <w:top w:val="single" w:sz="4" w:space="0" w:color="auto"/>
              <w:bottom w:val="nil"/>
            </w:tcBorders>
          </w:tcPr>
          <w:p w14:paraId="0570D002" w14:textId="7777777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rPr>
              <w:t>8. Nacionalidade</w:t>
            </w:r>
          </w:p>
        </w:tc>
        <w:tc>
          <w:tcPr>
            <w:tcW w:w="5168" w:type="dxa"/>
            <w:tcBorders>
              <w:top w:val="single" w:sz="4" w:space="0" w:color="auto"/>
              <w:bottom w:val="nil"/>
            </w:tcBorders>
          </w:tcPr>
          <w:p w14:paraId="53E8912D" w14:textId="7777777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8. Nationality</w:t>
            </w:r>
          </w:p>
        </w:tc>
      </w:tr>
      <w:tr w:rsidR="00D81D3D" w:rsidRPr="0014194B" w14:paraId="09E1E4F4" w14:textId="77777777" w:rsidTr="00BE12AD">
        <w:trPr>
          <w:trHeight w:val="20"/>
          <w:jc w:val="center"/>
        </w:trPr>
        <w:tc>
          <w:tcPr>
            <w:tcW w:w="5382" w:type="dxa"/>
            <w:tcBorders>
              <w:top w:val="nil"/>
              <w:bottom w:val="single" w:sz="4" w:space="0" w:color="auto"/>
            </w:tcBorders>
          </w:tcPr>
          <w:sdt>
            <w:sdtPr>
              <w:rPr>
                <w:rFonts w:ascii="Verdana" w:hAnsi="Verdana" w:cs="Arial"/>
                <w:sz w:val="18"/>
                <w:szCs w:val="18"/>
                <w:highlight w:val="lightGray"/>
              </w:rPr>
              <w:id w:val="-1163843332"/>
              <w:placeholder>
                <w:docPart w:val="DefaultPlaceholder_-1854013440"/>
              </w:placeholder>
            </w:sdtPr>
            <w:sdtContent>
              <w:p w14:paraId="1E438A48" w14:textId="325E0E24"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Borders>
              <w:top w:val="nil"/>
              <w:bottom w:val="single" w:sz="4" w:space="0" w:color="auto"/>
            </w:tcBorders>
          </w:tcPr>
          <w:sdt>
            <w:sdtPr>
              <w:rPr>
                <w:rFonts w:ascii="Verdana" w:hAnsi="Verdana" w:cs="Arial"/>
                <w:sz w:val="18"/>
                <w:szCs w:val="18"/>
                <w:highlight w:val="lightGray"/>
              </w:rPr>
              <w:id w:val="-1607110079"/>
              <w:placeholder>
                <w:docPart w:val="DefaultPlaceholder_-1854013440"/>
              </w:placeholder>
            </w:sdtPr>
            <w:sdtContent>
              <w:p w14:paraId="201CBF41" w14:textId="0A8CA17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D81D3D" w:rsidRPr="0014194B" w14:paraId="3E4FD5AC" w14:textId="77777777" w:rsidTr="00BE12AD">
        <w:trPr>
          <w:trHeight w:val="20"/>
          <w:jc w:val="center"/>
        </w:trPr>
        <w:tc>
          <w:tcPr>
            <w:tcW w:w="5382" w:type="dxa"/>
            <w:tcBorders>
              <w:top w:val="single" w:sz="4" w:space="0" w:color="auto"/>
              <w:bottom w:val="nil"/>
            </w:tcBorders>
          </w:tcPr>
          <w:p w14:paraId="3A190AEE" w14:textId="7777777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rPr>
              <w:t>9. Documento de Identidade</w:t>
            </w:r>
          </w:p>
        </w:tc>
        <w:tc>
          <w:tcPr>
            <w:tcW w:w="5168" w:type="dxa"/>
            <w:tcBorders>
              <w:top w:val="single" w:sz="4" w:space="0" w:color="auto"/>
              <w:bottom w:val="nil"/>
            </w:tcBorders>
          </w:tcPr>
          <w:p w14:paraId="6DC51F54" w14:textId="7777777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9. Identification Document</w:t>
            </w:r>
          </w:p>
        </w:tc>
      </w:tr>
      <w:tr w:rsidR="00D81D3D" w:rsidRPr="0014194B" w14:paraId="3EA9BB23" w14:textId="77777777" w:rsidTr="00BE12AD">
        <w:trPr>
          <w:trHeight w:val="20"/>
          <w:jc w:val="center"/>
        </w:trPr>
        <w:tc>
          <w:tcPr>
            <w:tcW w:w="5382" w:type="dxa"/>
            <w:tcBorders>
              <w:top w:val="nil"/>
              <w:bottom w:val="single" w:sz="4" w:space="0" w:color="auto"/>
            </w:tcBorders>
          </w:tcPr>
          <w:sdt>
            <w:sdtPr>
              <w:rPr>
                <w:rFonts w:ascii="Verdana" w:hAnsi="Verdana" w:cs="Arial"/>
                <w:sz w:val="18"/>
                <w:szCs w:val="18"/>
                <w:highlight w:val="lightGray"/>
              </w:rPr>
              <w:id w:val="1676914135"/>
              <w:placeholder>
                <w:docPart w:val="DefaultPlaceholder_-1854013440"/>
              </w:placeholder>
            </w:sdtPr>
            <w:sdtContent>
              <w:p w14:paraId="17C50094" w14:textId="52E839AF"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Borders>
              <w:top w:val="nil"/>
              <w:bottom w:val="single" w:sz="4" w:space="0" w:color="auto"/>
            </w:tcBorders>
          </w:tcPr>
          <w:sdt>
            <w:sdtPr>
              <w:rPr>
                <w:rFonts w:ascii="Verdana" w:hAnsi="Verdana" w:cs="Arial"/>
                <w:sz w:val="18"/>
                <w:szCs w:val="18"/>
                <w:highlight w:val="lightGray"/>
              </w:rPr>
              <w:id w:val="16818385"/>
              <w:placeholder>
                <w:docPart w:val="DefaultPlaceholder_-1854013440"/>
              </w:placeholder>
            </w:sdtPr>
            <w:sdtContent>
              <w:p w14:paraId="7BB3E01D" w14:textId="0C219C91"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D81D3D" w:rsidRPr="0014194B" w14:paraId="1F68EFAC" w14:textId="77777777" w:rsidTr="00BE12AD">
        <w:trPr>
          <w:trHeight w:val="20"/>
          <w:jc w:val="center"/>
        </w:trPr>
        <w:tc>
          <w:tcPr>
            <w:tcW w:w="5382" w:type="dxa"/>
            <w:tcBorders>
              <w:top w:val="single" w:sz="4" w:space="0" w:color="auto"/>
              <w:bottom w:val="nil"/>
            </w:tcBorders>
          </w:tcPr>
          <w:p w14:paraId="107CF846" w14:textId="7777777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rPr>
              <w:t>10. Órgão Emissor</w:t>
            </w:r>
          </w:p>
        </w:tc>
        <w:tc>
          <w:tcPr>
            <w:tcW w:w="5168" w:type="dxa"/>
            <w:tcBorders>
              <w:top w:val="single" w:sz="4" w:space="0" w:color="auto"/>
              <w:bottom w:val="nil"/>
            </w:tcBorders>
          </w:tcPr>
          <w:p w14:paraId="254D3EA4" w14:textId="7777777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10. Issuing Authority</w:t>
            </w:r>
          </w:p>
        </w:tc>
      </w:tr>
      <w:tr w:rsidR="00D81D3D" w:rsidRPr="0014194B" w14:paraId="71AEEA8D" w14:textId="77777777" w:rsidTr="00BE12AD">
        <w:trPr>
          <w:trHeight w:val="20"/>
          <w:jc w:val="center"/>
        </w:trPr>
        <w:tc>
          <w:tcPr>
            <w:tcW w:w="5382" w:type="dxa"/>
            <w:tcBorders>
              <w:top w:val="nil"/>
              <w:bottom w:val="single" w:sz="4" w:space="0" w:color="auto"/>
            </w:tcBorders>
          </w:tcPr>
          <w:sdt>
            <w:sdtPr>
              <w:rPr>
                <w:rFonts w:ascii="Verdana" w:hAnsi="Verdana" w:cs="Arial"/>
                <w:sz w:val="18"/>
                <w:szCs w:val="18"/>
                <w:highlight w:val="lightGray"/>
              </w:rPr>
              <w:id w:val="-1136252202"/>
              <w:placeholder>
                <w:docPart w:val="DefaultPlaceholder_-1854013440"/>
              </w:placeholder>
            </w:sdtPr>
            <w:sdtContent>
              <w:p w14:paraId="17BF6803" w14:textId="2F5B56F4"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Borders>
              <w:top w:val="nil"/>
              <w:bottom w:val="single" w:sz="4" w:space="0" w:color="auto"/>
            </w:tcBorders>
          </w:tcPr>
          <w:sdt>
            <w:sdtPr>
              <w:rPr>
                <w:rFonts w:ascii="Verdana" w:hAnsi="Verdana" w:cs="Arial"/>
                <w:sz w:val="18"/>
                <w:szCs w:val="18"/>
                <w:highlight w:val="lightGray"/>
              </w:rPr>
              <w:id w:val="-1072044610"/>
              <w:placeholder>
                <w:docPart w:val="DefaultPlaceholder_-1854013440"/>
              </w:placeholder>
            </w:sdtPr>
            <w:sdtContent>
              <w:p w14:paraId="2505FC5B" w14:textId="0A7C5D1F"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D81D3D" w:rsidRPr="0014194B" w14:paraId="336615D8" w14:textId="77777777" w:rsidTr="00BE12AD">
        <w:trPr>
          <w:trHeight w:val="20"/>
          <w:jc w:val="center"/>
        </w:trPr>
        <w:tc>
          <w:tcPr>
            <w:tcW w:w="5382" w:type="dxa"/>
            <w:tcBorders>
              <w:top w:val="single" w:sz="4" w:space="0" w:color="auto"/>
              <w:bottom w:val="nil"/>
            </w:tcBorders>
          </w:tcPr>
          <w:p w14:paraId="5E69059A" w14:textId="7777777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rPr>
              <w:t>11. Endereço (Rua/Avenida)</w:t>
            </w:r>
          </w:p>
        </w:tc>
        <w:tc>
          <w:tcPr>
            <w:tcW w:w="5168" w:type="dxa"/>
            <w:tcBorders>
              <w:top w:val="single" w:sz="4" w:space="0" w:color="auto"/>
              <w:bottom w:val="nil"/>
            </w:tcBorders>
          </w:tcPr>
          <w:p w14:paraId="7E08D1D0" w14:textId="7777777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11. Address (Street/Avenue)</w:t>
            </w:r>
          </w:p>
        </w:tc>
      </w:tr>
      <w:tr w:rsidR="00D81D3D" w:rsidRPr="0014194B" w14:paraId="33709FAC" w14:textId="77777777" w:rsidTr="00BE12AD">
        <w:trPr>
          <w:trHeight w:val="20"/>
          <w:jc w:val="center"/>
        </w:trPr>
        <w:tc>
          <w:tcPr>
            <w:tcW w:w="5382" w:type="dxa"/>
            <w:tcBorders>
              <w:top w:val="nil"/>
              <w:bottom w:val="single" w:sz="4" w:space="0" w:color="auto"/>
            </w:tcBorders>
          </w:tcPr>
          <w:sdt>
            <w:sdtPr>
              <w:rPr>
                <w:rFonts w:ascii="Verdana" w:hAnsi="Verdana" w:cs="Arial"/>
                <w:sz w:val="18"/>
                <w:szCs w:val="18"/>
                <w:highlight w:val="lightGray"/>
              </w:rPr>
              <w:id w:val="2022429504"/>
              <w:placeholder>
                <w:docPart w:val="DefaultPlaceholder_-1854013440"/>
              </w:placeholder>
            </w:sdtPr>
            <w:sdtContent>
              <w:p w14:paraId="6E60CDEB" w14:textId="30C2CD2E"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Borders>
              <w:top w:val="nil"/>
              <w:bottom w:val="single" w:sz="4" w:space="0" w:color="auto"/>
            </w:tcBorders>
          </w:tcPr>
          <w:sdt>
            <w:sdtPr>
              <w:rPr>
                <w:rFonts w:ascii="Verdana" w:hAnsi="Verdana" w:cs="Arial"/>
                <w:sz w:val="18"/>
                <w:szCs w:val="18"/>
                <w:highlight w:val="lightGray"/>
              </w:rPr>
              <w:id w:val="1688633829"/>
              <w:placeholder>
                <w:docPart w:val="DefaultPlaceholder_-1854013440"/>
              </w:placeholder>
            </w:sdtPr>
            <w:sdtContent>
              <w:p w14:paraId="12C89108" w14:textId="1ECCCFF9"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D81D3D" w:rsidRPr="0014194B" w14:paraId="792E0DC4" w14:textId="77777777" w:rsidTr="00BE12AD">
        <w:trPr>
          <w:trHeight w:val="20"/>
          <w:jc w:val="center"/>
        </w:trPr>
        <w:tc>
          <w:tcPr>
            <w:tcW w:w="5382" w:type="dxa"/>
            <w:tcBorders>
              <w:top w:val="single" w:sz="4" w:space="0" w:color="auto"/>
              <w:bottom w:val="nil"/>
            </w:tcBorders>
          </w:tcPr>
          <w:p w14:paraId="02AA5311" w14:textId="7777777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rPr>
              <w:t>12. Número</w:t>
            </w:r>
          </w:p>
        </w:tc>
        <w:tc>
          <w:tcPr>
            <w:tcW w:w="5168" w:type="dxa"/>
            <w:tcBorders>
              <w:top w:val="single" w:sz="4" w:space="0" w:color="auto"/>
              <w:bottom w:val="nil"/>
            </w:tcBorders>
          </w:tcPr>
          <w:p w14:paraId="5B4174E3" w14:textId="7777777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12. Number</w:t>
            </w:r>
          </w:p>
        </w:tc>
      </w:tr>
      <w:tr w:rsidR="00D81D3D" w:rsidRPr="0014194B" w14:paraId="6B3CE265" w14:textId="77777777" w:rsidTr="00BE12AD">
        <w:trPr>
          <w:trHeight w:val="20"/>
          <w:jc w:val="center"/>
        </w:trPr>
        <w:tc>
          <w:tcPr>
            <w:tcW w:w="5382" w:type="dxa"/>
            <w:tcBorders>
              <w:top w:val="nil"/>
              <w:bottom w:val="single" w:sz="4" w:space="0" w:color="auto"/>
            </w:tcBorders>
          </w:tcPr>
          <w:sdt>
            <w:sdtPr>
              <w:rPr>
                <w:rFonts w:ascii="Verdana" w:hAnsi="Verdana" w:cs="Arial"/>
                <w:sz w:val="18"/>
                <w:szCs w:val="18"/>
                <w:highlight w:val="lightGray"/>
              </w:rPr>
              <w:id w:val="315307630"/>
              <w:placeholder>
                <w:docPart w:val="DefaultPlaceholder_-1854013440"/>
              </w:placeholder>
            </w:sdtPr>
            <w:sdtContent>
              <w:p w14:paraId="76D31F39" w14:textId="580315BC"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Borders>
              <w:top w:val="nil"/>
              <w:bottom w:val="single" w:sz="4" w:space="0" w:color="auto"/>
            </w:tcBorders>
          </w:tcPr>
          <w:sdt>
            <w:sdtPr>
              <w:rPr>
                <w:rFonts w:ascii="Verdana" w:hAnsi="Verdana" w:cs="Arial"/>
                <w:sz w:val="18"/>
                <w:szCs w:val="18"/>
                <w:highlight w:val="lightGray"/>
              </w:rPr>
              <w:id w:val="1019973439"/>
              <w:placeholder>
                <w:docPart w:val="DefaultPlaceholder_-1854013440"/>
              </w:placeholder>
            </w:sdtPr>
            <w:sdtContent>
              <w:p w14:paraId="1C61B3D6" w14:textId="2D61DCF2"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D81D3D" w:rsidRPr="0014194B" w14:paraId="30537475" w14:textId="77777777" w:rsidTr="00BE12AD">
        <w:trPr>
          <w:trHeight w:val="20"/>
          <w:jc w:val="center"/>
        </w:trPr>
        <w:tc>
          <w:tcPr>
            <w:tcW w:w="5382" w:type="dxa"/>
            <w:tcBorders>
              <w:top w:val="single" w:sz="4" w:space="0" w:color="auto"/>
              <w:bottom w:val="nil"/>
            </w:tcBorders>
          </w:tcPr>
          <w:p w14:paraId="19C62BBD" w14:textId="7777777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rPr>
              <w:t>13. Complemento</w:t>
            </w:r>
          </w:p>
        </w:tc>
        <w:tc>
          <w:tcPr>
            <w:tcW w:w="5168" w:type="dxa"/>
            <w:tcBorders>
              <w:top w:val="single" w:sz="4" w:space="0" w:color="auto"/>
              <w:bottom w:val="nil"/>
            </w:tcBorders>
          </w:tcPr>
          <w:p w14:paraId="6288ACA0" w14:textId="7D321201"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13. House/ Apt. No.</w:t>
            </w:r>
          </w:p>
        </w:tc>
      </w:tr>
      <w:tr w:rsidR="00D81D3D" w:rsidRPr="0014194B" w14:paraId="2108562C" w14:textId="77777777" w:rsidTr="00BE12AD">
        <w:trPr>
          <w:trHeight w:val="20"/>
          <w:jc w:val="center"/>
        </w:trPr>
        <w:tc>
          <w:tcPr>
            <w:tcW w:w="5382" w:type="dxa"/>
            <w:tcBorders>
              <w:top w:val="nil"/>
              <w:bottom w:val="single" w:sz="4" w:space="0" w:color="auto"/>
            </w:tcBorders>
          </w:tcPr>
          <w:sdt>
            <w:sdtPr>
              <w:rPr>
                <w:rFonts w:ascii="Verdana" w:hAnsi="Verdana" w:cs="Arial"/>
                <w:sz w:val="18"/>
                <w:szCs w:val="18"/>
                <w:highlight w:val="lightGray"/>
              </w:rPr>
              <w:id w:val="860855785"/>
              <w:placeholder>
                <w:docPart w:val="DefaultPlaceholder_-1854013440"/>
              </w:placeholder>
            </w:sdtPr>
            <w:sdtContent>
              <w:p w14:paraId="0CA7696D" w14:textId="363B3D33"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Borders>
              <w:top w:val="nil"/>
              <w:bottom w:val="single" w:sz="4" w:space="0" w:color="auto"/>
            </w:tcBorders>
          </w:tcPr>
          <w:sdt>
            <w:sdtPr>
              <w:rPr>
                <w:rFonts w:ascii="Verdana" w:hAnsi="Verdana" w:cs="Arial"/>
                <w:sz w:val="18"/>
                <w:szCs w:val="18"/>
                <w:highlight w:val="lightGray"/>
              </w:rPr>
              <w:id w:val="5721298"/>
              <w:placeholder>
                <w:docPart w:val="DefaultPlaceholder_-1854013440"/>
              </w:placeholder>
            </w:sdtPr>
            <w:sdtContent>
              <w:p w14:paraId="0D842190" w14:textId="3453713B"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D81D3D" w:rsidRPr="0014194B" w14:paraId="18BB1297" w14:textId="77777777" w:rsidTr="00BE12AD">
        <w:trPr>
          <w:trHeight w:val="20"/>
          <w:jc w:val="center"/>
        </w:trPr>
        <w:tc>
          <w:tcPr>
            <w:tcW w:w="5382" w:type="dxa"/>
            <w:tcBorders>
              <w:top w:val="single" w:sz="4" w:space="0" w:color="auto"/>
              <w:bottom w:val="nil"/>
            </w:tcBorders>
          </w:tcPr>
          <w:p w14:paraId="57DEAD0D" w14:textId="7777777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rPr>
              <w:t>14. Bairro</w:t>
            </w:r>
          </w:p>
        </w:tc>
        <w:tc>
          <w:tcPr>
            <w:tcW w:w="5168" w:type="dxa"/>
            <w:tcBorders>
              <w:top w:val="single" w:sz="4" w:space="0" w:color="auto"/>
              <w:bottom w:val="nil"/>
            </w:tcBorders>
          </w:tcPr>
          <w:p w14:paraId="14A1A81D" w14:textId="7777777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14. Neighborhood</w:t>
            </w:r>
          </w:p>
        </w:tc>
      </w:tr>
      <w:tr w:rsidR="00D81D3D" w:rsidRPr="0014194B" w14:paraId="5D4603CE" w14:textId="77777777" w:rsidTr="00BE12AD">
        <w:trPr>
          <w:trHeight w:val="20"/>
          <w:jc w:val="center"/>
        </w:trPr>
        <w:tc>
          <w:tcPr>
            <w:tcW w:w="5382" w:type="dxa"/>
            <w:tcBorders>
              <w:top w:val="nil"/>
              <w:bottom w:val="single" w:sz="4" w:space="0" w:color="auto"/>
            </w:tcBorders>
          </w:tcPr>
          <w:sdt>
            <w:sdtPr>
              <w:rPr>
                <w:rFonts w:ascii="Verdana" w:hAnsi="Verdana" w:cs="Arial"/>
                <w:sz w:val="18"/>
                <w:szCs w:val="18"/>
                <w:highlight w:val="lightGray"/>
              </w:rPr>
              <w:id w:val="849226380"/>
              <w:placeholder>
                <w:docPart w:val="DefaultPlaceholder_-1854013440"/>
              </w:placeholder>
            </w:sdtPr>
            <w:sdtContent>
              <w:p w14:paraId="5BC4EB38" w14:textId="7650EADF"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Borders>
              <w:top w:val="nil"/>
              <w:bottom w:val="single" w:sz="4" w:space="0" w:color="auto"/>
            </w:tcBorders>
          </w:tcPr>
          <w:sdt>
            <w:sdtPr>
              <w:rPr>
                <w:rFonts w:ascii="Verdana" w:hAnsi="Verdana" w:cs="Arial"/>
                <w:sz w:val="18"/>
                <w:szCs w:val="18"/>
                <w:highlight w:val="lightGray"/>
              </w:rPr>
              <w:id w:val="-612372689"/>
              <w:placeholder>
                <w:docPart w:val="DefaultPlaceholder_-1854013440"/>
              </w:placeholder>
            </w:sdtPr>
            <w:sdtContent>
              <w:p w14:paraId="2C809E4F" w14:textId="4BC55E50"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D81D3D" w:rsidRPr="0014194B" w14:paraId="3D5F299B" w14:textId="77777777" w:rsidTr="00BE12AD">
        <w:trPr>
          <w:trHeight w:val="20"/>
          <w:jc w:val="center"/>
        </w:trPr>
        <w:tc>
          <w:tcPr>
            <w:tcW w:w="5382" w:type="dxa"/>
            <w:tcBorders>
              <w:top w:val="single" w:sz="4" w:space="0" w:color="auto"/>
              <w:bottom w:val="nil"/>
            </w:tcBorders>
          </w:tcPr>
          <w:p w14:paraId="620CDE22" w14:textId="7777777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rPr>
              <w:t>15. Cidade</w:t>
            </w:r>
          </w:p>
        </w:tc>
        <w:tc>
          <w:tcPr>
            <w:tcW w:w="5168" w:type="dxa"/>
            <w:tcBorders>
              <w:top w:val="single" w:sz="4" w:space="0" w:color="auto"/>
              <w:bottom w:val="nil"/>
            </w:tcBorders>
          </w:tcPr>
          <w:p w14:paraId="22B2B890" w14:textId="7777777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15. City</w:t>
            </w:r>
          </w:p>
        </w:tc>
      </w:tr>
      <w:tr w:rsidR="00D81D3D" w:rsidRPr="0014194B" w14:paraId="3569B51C" w14:textId="77777777" w:rsidTr="00BE12AD">
        <w:trPr>
          <w:trHeight w:val="20"/>
          <w:jc w:val="center"/>
        </w:trPr>
        <w:tc>
          <w:tcPr>
            <w:tcW w:w="5382" w:type="dxa"/>
            <w:tcBorders>
              <w:top w:val="nil"/>
              <w:bottom w:val="single" w:sz="4" w:space="0" w:color="auto"/>
            </w:tcBorders>
          </w:tcPr>
          <w:sdt>
            <w:sdtPr>
              <w:rPr>
                <w:rFonts w:ascii="Verdana" w:hAnsi="Verdana" w:cs="Arial"/>
                <w:sz w:val="18"/>
                <w:szCs w:val="18"/>
                <w:highlight w:val="lightGray"/>
              </w:rPr>
              <w:id w:val="942815993"/>
              <w:placeholder>
                <w:docPart w:val="DefaultPlaceholder_-1854013440"/>
              </w:placeholder>
            </w:sdtPr>
            <w:sdtContent>
              <w:p w14:paraId="06CBE91E" w14:textId="3FB4F4A1"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Borders>
              <w:top w:val="nil"/>
              <w:bottom w:val="single" w:sz="4" w:space="0" w:color="auto"/>
            </w:tcBorders>
          </w:tcPr>
          <w:sdt>
            <w:sdtPr>
              <w:rPr>
                <w:rFonts w:ascii="Verdana" w:hAnsi="Verdana" w:cs="Arial"/>
                <w:sz w:val="18"/>
                <w:szCs w:val="18"/>
                <w:highlight w:val="lightGray"/>
              </w:rPr>
              <w:id w:val="-1284728188"/>
              <w:placeholder>
                <w:docPart w:val="DefaultPlaceholder_-1854013440"/>
              </w:placeholder>
            </w:sdtPr>
            <w:sdtContent>
              <w:p w14:paraId="57BAD427" w14:textId="68C49C8C"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D81D3D" w:rsidRPr="0014194B" w14:paraId="6B819734" w14:textId="77777777" w:rsidTr="00BE12AD">
        <w:trPr>
          <w:trHeight w:val="20"/>
          <w:jc w:val="center"/>
        </w:trPr>
        <w:tc>
          <w:tcPr>
            <w:tcW w:w="5382" w:type="dxa"/>
            <w:tcBorders>
              <w:top w:val="single" w:sz="4" w:space="0" w:color="auto"/>
              <w:bottom w:val="nil"/>
            </w:tcBorders>
          </w:tcPr>
          <w:p w14:paraId="3355BDF4" w14:textId="7777777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rPr>
              <w:t>16. Estado</w:t>
            </w:r>
          </w:p>
        </w:tc>
        <w:tc>
          <w:tcPr>
            <w:tcW w:w="5168" w:type="dxa"/>
            <w:tcBorders>
              <w:top w:val="single" w:sz="4" w:space="0" w:color="auto"/>
              <w:bottom w:val="nil"/>
            </w:tcBorders>
          </w:tcPr>
          <w:p w14:paraId="7B64F7C1" w14:textId="7777777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16. State</w:t>
            </w:r>
          </w:p>
        </w:tc>
      </w:tr>
      <w:tr w:rsidR="00D81D3D" w:rsidRPr="0014194B" w14:paraId="291B4C76" w14:textId="77777777" w:rsidTr="00BE12AD">
        <w:trPr>
          <w:trHeight w:val="20"/>
          <w:jc w:val="center"/>
        </w:trPr>
        <w:tc>
          <w:tcPr>
            <w:tcW w:w="5382" w:type="dxa"/>
            <w:tcBorders>
              <w:top w:val="nil"/>
              <w:bottom w:val="single" w:sz="4" w:space="0" w:color="auto"/>
            </w:tcBorders>
          </w:tcPr>
          <w:sdt>
            <w:sdtPr>
              <w:rPr>
                <w:rFonts w:ascii="Verdana" w:hAnsi="Verdana" w:cs="Arial"/>
                <w:sz w:val="18"/>
                <w:szCs w:val="18"/>
                <w:highlight w:val="lightGray"/>
              </w:rPr>
              <w:id w:val="-1779401775"/>
              <w:placeholder>
                <w:docPart w:val="DefaultPlaceholder_-1854013440"/>
              </w:placeholder>
            </w:sdtPr>
            <w:sdtContent>
              <w:p w14:paraId="65929BE7" w14:textId="00E0CBD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Borders>
              <w:top w:val="nil"/>
              <w:bottom w:val="single" w:sz="4" w:space="0" w:color="auto"/>
            </w:tcBorders>
          </w:tcPr>
          <w:sdt>
            <w:sdtPr>
              <w:rPr>
                <w:rFonts w:ascii="Verdana" w:hAnsi="Verdana" w:cs="Arial"/>
                <w:sz w:val="18"/>
                <w:szCs w:val="18"/>
                <w:highlight w:val="lightGray"/>
              </w:rPr>
              <w:id w:val="-646353789"/>
              <w:placeholder>
                <w:docPart w:val="DefaultPlaceholder_-1854013440"/>
              </w:placeholder>
            </w:sdtPr>
            <w:sdtContent>
              <w:p w14:paraId="4473CA0E" w14:textId="7399C23B"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D81D3D" w:rsidRPr="0014194B" w14:paraId="24B6A552" w14:textId="77777777" w:rsidTr="00BE12AD">
        <w:trPr>
          <w:trHeight w:val="20"/>
          <w:jc w:val="center"/>
        </w:trPr>
        <w:tc>
          <w:tcPr>
            <w:tcW w:w="5382" w:type="dxa"/>
            <w:tcBorders>
              <w:top w:val="single" w:sz="4" w:space="0" w:color="auto"/>
              <w:bottom w:val="nil"/>
            </w:tcBorders>
          </w:tcPr>
          <w:p w14:paraId="17510863" w14:textId="7777777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rPr>
              <w:t>17. CEP</w:t>
            </w:r>
          </w:p>
        </w:tc>
        <w:tc>
          <w:tcPr>
            <w:tcW w:w="5168" w:type="dxa"/>
            <w:tcBorders>
              <w:top w:val="single" w:sz="4" w:space="0" w:color="auto"/>
              <w:bottom w:val="nil"/>
            </w:tcBorders>
          </w:tcPr>
          <w:p w14:paraId="1ABB7650" w14:textId="7777777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17. ZIP Code</w:t>
            </w:r>
          </w:p>
        </w:tc>
      </w:tr>
      <w:tr w:rsidR="00D81D3D" w:rsidRPr="0014194B" w14:paraId="0B7711F1" w14:textId="77777777" w:rsidTr="00BE12AD">
        <w:trPr>
          <w:trHeight w:val="20"/>
          <w:jc w:val="center"/>
        </w:trPr>
        <w:tc>
          <w:tcPr>
            <w:tcW w:w="5382" w:type="dxa"/>
            <w:tcBorders>
              <w:top w:val="nil"/>
              <w:bottom w:val="single" w:sz="4" w:space="0" w:color="auto"/>
            </w:tcBorders>
          </w:tcPr>
          <w:sdt>
            <w:sdtPr>
              <w:rPr>
                <w:rFonts w:ascii="Verdana" w:hAnsi="Verdana" w:cs="Arial"/>
                <w:sz w:val="18"/>
                <w:szCs w:val="18"/>
                <w:highlight w:val="lightGray"/>
              </w:rPr>
              <w:id w:val="395168500"/>
              <w:placeholder>
                <w:docPart w:val="DefaultPlaceholder_-1854013440"/>
              </w:placeholder>
            </w:sdtPr>
            <w:sdtContent>
              <w:p w14:paraId="0DF0EE7E" w14:textId="15A23B3A"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Borders>
              <w:top w:val="nil"/>
              <w:bottom w:val="single" w:sz="4" w:space="0" w:color="auto"/>
            </w:tcBorders>
          </w:tcPr>
          <w:sdt>
            <w:sdtPr>
              <w:rPr>
                <w:rFonts w:ascii="Verdana" w:hAnsi="Verdana" w:cs="Arial"/>
                <w:sz w:val="18"/>
                <w:szCs w:val="18"/>
                <w:highlight w:val="lightGray"/>
              </w:rPr>
              <w:id w:val="971639679"/>
              <w:placeholder>
                <w:docPart w:val="DefaultPlaceholder_-1854013440"/>
              </w:placeholder>
            </w:sdtPr>
            <w:sdtContent>
              <w:p w14:paraId="6EFA17FC" w14:textId="175B19B0"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D81D3D" w:rsidRPr="0014194B" w14:paraId="43CD42D4" w14:textId="77777777" w:rsidTr="00BE12AD">
        <w:trPr>
          <w:trHeight w:val="20"/>
          <w:jc w:val="center"/>
        </w:trPr>
        <w:tc>
          <w:tcPr>
            <w:tcW w:w="5382" w:type="dxa"/>
            <w:tcBorders>
              <w:top w:val="single" w:sz="4" w:space="0" w:color="auto"/>
              <w:bottom w:val="nil"/>
            </w:tcBorders>
          </w:tcPr>
          <w:p w14:paraId="71F7F389" w14:textId="7777777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rPr>
              <w:t>18. E-mail</w:t>
            </w:r>
          </w:p>
        </w:tc>
        <w:tc>
          <w:tcPr>
            <w:tcW w:w="5168" w:type="dxa"/>
            <w:tcBorders>
              <w:top w:val="single" w:sz="4" w:space="0" w:color="auto"/>
              <w:bottom w:val="nil"/>
            </w:tcBorders>
          </w:tcPr>
          <w:p w14:paraId="5046B652" w14:textId="7777777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18. E-mail:</w:t>
            </w:r>
          </w:p>
        </w:tc>
      </w:tr>
      <w:tr w:rsidR="00D81D3D" w:rsidRPr="0014194B" w14:paraId="5CED4EFD" w14:textId="77777777" w:rsidTr="00BE12AD">
        <w:trPr>
          <w:trHeight w:val="20"/>
          <w:jc w:val="center"/>
        </w:trPr>
        <w:tc>
          <w:tcPr>
            <w:tcW w:w="5382" w:type="dxa"/>
            <w:tcBorders>
              <w:top w:val="nil"/>
              <w:bottom w:val="single" w:sz="4" w:space="0" w:color="auto"/>
            </w:tcBorders>
          </w:tcPr>
          <w:sdt>
            <w:sdtPr>
              <w:rPr>
                <w:rFonts w:ascii="Verdana" w:hAnsi="Verdana" w:cs="Arial"/>
                <w:sz w:val="18"/>
                <w:szCs w:val="18"/>
                <w:highlight w:val="lightGray"/>
              </w:rPr>
              <w:id w:val="-1016150853"/>
              <w:placeholder>
                <w:docPart w:val="DefaultPlaceholder_-1854013440"/>
              </w:placeholder>
            </w:sdtPr>
            <w:sdtContent>
              <w:p w14:paraId="34898D18" w14:textId="176D934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Borders>
              <w:top w:val="nil"/>
              <w:bottom w:val="single" w:sz="4" w:space="0" w:color="auto"/>
            </w:tcBorders>
          </w:tcPr>
          <w:sdt>
            <w:sdtPr>
              <w:rPr>
                <w:rFonts w:ascii="Verdana" w:hAnsi="Verdana" w:cs="Arial"/>
                <w:sz w:val="18"/>
                <w:szCs w:val="18"/>
                <w:highlight w:val="lightGray"/>
              </w:rPr>
              <w:id w:val="-1940982156"/>
              <w:placeholder>
                <w:docPart w:val="DefaultPlaceholder_-1854013440"/>
              </w:placeholder>
            </w:sdtPr>
            <w:sdtContent>
              <w:p w14:paraId="1BF68F8A" w14:textId="5F75D2DF"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D81D3D" w:rsidRPr="0014194B" w14:paraId="26224371" w14:textId="77777777" w:rsidTr="00BE12AD">
        <w:trPr>
          <w:trHeight w:val="20"/>
          <w:jc w:val="center"/>
        </w:trPr>
        <w:tc>
          <w:tcPr>
            <w:tcW w:w="5382" w:type="dxa"/>
            <w:tcBorders>
              <w:top w:val="single" w:sz="4" w:space="0" w:color="auto"/>
              <w:bottom w:val="nil"/>
            </w:tcBorders>
          </w:tcPr>
          <w:p w14:paraId="16FC200C" w14:textId="7777777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rPr>
              <w:lastRenderedPageBreak/>
              <w:t>19. Telefone/Fax</w:t>
            </w:r>
          </w:p>
        </w:tc>
        <w:tc>
          <w:tcPr>
            <w:tcW w:w="5168" w:type="dxa"/>
            <w:tcBorders>
              <w:top w:val="single" w:sz="4" w:space="0" w:color="auto"/>
              <w:bottom w:val="nil"/>
            </w:tcBorders>
          </w:tcPr>
          <w:p w14:paraId="6166218F" w14:textId="7777777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19. Phone/Fax</w:t>
            </w:r>
          </w:p>
        </w:tc>
      </w:tr>
      <w:tr w:rsidR="00D81D3D" w:rsidRPr="0014194B" w14:paraId="49B6BFE5" w14:textId="77777777" w:rsidTr="00BE12AD">
        <w:trPr>
          <w:trHeight w:val="20"/>
          <w:jc w:val="center"/>
        </w:trPr>
        <w:tc>
          <w:tcPr>
            <w:tcW w:w="5382" w:type="dxa"/>
            <w:tcBorders>
              <w:top w:val="nil"/>
              <w:bottom w:val="single" w:sz="4" w:space="0" w:color="auto"/>
            </w:tcBorders>
          </w:tcPr>
          <w:sdt>
            <w:sdtPr>
              <w:rPr>
                <w:rFonts w:ascii="Verdana" w:hAnsi="Verdana" w:cs="Arial"/>
                <w:sz w:val="18"/>
                <w:szCs w:val="18"/>
                <w:highlight w:val="lightGray"/>
              </w:rPr>
              <w:id w:val="1307206201"/>
              <w:placeholder>
                <w:docPart w:val="DefaultPlaceholder_-1854013440"/>
              </w:placeholder>
            </w:sdtPr>
            <w:sdtContent>
              <w:p w14:paraId="0B820D63" w14:textId="5A73C911"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Borders>
              <w:top w:val="nil"/>
              <w:bottom w:val="single" w:sz="4" w:space="0" w:color="auto"/>
            </w:tcBorders>
          </w:tcPr>
          <w:sdt>
            <w:sdtPr>
              <w:rPr>
                <w:rFonts w:ascii="Verdana" w:hAnsi="Verdana" w:cs="Arial"/>
                <w:sz w:val="18"/>
                <w:szCs w:val="18"/>
                <w:highlight w:val="lightGray"/>
              </w:rPr>
              <w:id w:val="-1797829519"/>
              <w:placeholder>
                <w:docPart w:val="DefaultPlaceholder_-1854013440"/>
              </w:placeholder>
            </w:sdtPr>
            <w:sdtContent>
              <w:p w14:paraId="17483F72" w14:textId="64FFF521"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D81D3D" w:rsidRPr="00016DC5" w14:paraId="4A8C5D32" w14:textId="77777777" w:rsidTr="00BE12AD">
        <w:trPr>
          <w:trHeight w:val="20"/>
          <w:jc w:val="center"/>
        </w:trPr>
        <w:tc>
          <w:tcPr>
            <w:tcW w:w="5382" w:type="dxa"/>
            <w:tcBorders>
              <w:top w:val="single" w:sz="4" w:space="0" w:color="auto"/>
              <w:bottom w:val="nil"/>
            </w:tcBorders>
          </w:tcPr>
          <w:p w14:paraId="02EC98F9" w14:textId="7777777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rPr>
              <w:t>20. Nome do representante legal (se houver)</w:t>
            </w:r>
          </w:p>
        </w:tc>
        <w:tc>
          <w:tcPr>
            <w:tcW w:w="5168" w:type="dxa"/>
            <w:tcBorders>
              <w:top w:val="single" w:sz="4" w:space="0" w:color="auto"/>
              <w:bottom w:val="nil"/>
            </w:tcBorders>
          </w:tcPr>
          <w:p w14:paraId="49B547B2" w14:textId="7777777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20. Name of legal representative (if any)</w:t>
            </w:r>
          </w:p>
        </w:tc>
      </w:tr>
      <w:tr w:rsidR="00D81D3D" w:rsidRPr="0014194B" w14:paraId="64DC772F" w14:textId="77777777" w:rsidTr="00BE12AD">
        <w:trPr>
          <w:trHeight w:val="20"/>
          <w:jc w:val="center"/>
        </w:trPr>
        <w:tc>
          <w:tcPr>
            <w:tcW w:w="5382" w:type="dxa"/>
            <w:tcBorders>
              <w:top w:val="nil"/>
              <w:bottom w:val="single" w:sz="4" w:space="0" w:color="auto"/>
            </w:tcBorders>
          </w:tcPr>
          <w:sdt>
            <w:sdtPr>
              <w:rPr>
                <w:rFonts w:ascii="Verdana" w:hAnsi="Verdana" w:cs="Arial"/>
                <w:sz w:val="18"/>
                <w:szCs w:val="18"/>
                <w:highlight w:val="lightGray"/>
              </w:rPr>
              <w:id w:val="-1271933546"/>
              <w:placeholder>
                <w:docPart w:val="DefaultPlaceholder_-1854013440"/>
              </w:placeholder>
            </w:sdtPr>
            <w:sdtContent>
              <w:p w14:paraId="05E0165E" w14:textId="1CAAA8BD"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c>
          <w:tcPr>
            <w:tcW w:w="5168" w:type="dxa"/>
            <w:tcBorders>
              <w:top w:val="nil"/>
              <w:bottom w:val="single" w:sz="4" w:space="0" w:color="auto"/>
            </w:tcBorders>
          </w:tcPr>
          <w:sdt>
            <w:sdtPr>
              <w:rPr>
                <w:rFonts w:ascii="Verdana" w:hAnsi="Verdana" w:cs="Arial"/>
                <w:sz w:val="18"/>
                <w:szCs w:val="18"/>
                <w:highlight w:val="lightGray"/>
              </w:rPr>
              <w:id w:val="1552112772"/>
              <w:placeholder>
                <w:docPart w:val="DefaultPlaceholder_-1854013440"/>
              </w:placeholder>
            </w:sdtPr>
            <w:sdtContent>
              <w:p w14:paraId="00C6C767" w14:textId="04BEFECE"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D81D3D" w:rsidRPr="0014194B" w14:paraId="6EC3EE94" w14:textId="77777777" w:rsidTr="00BE12AD">
        <w:trPr>
          <w:trHeight w:val="20"/>
          <w:jc w:val="center"/>
        </w:trPr>
        <w:tc>
          <w:tcPr>
            <w:tcW w:w="5382" w:type="dxa"/>
            <w:tcBorders>
              <w:top w:val="single" w:sz="4" w:space="0" w:color="auto"/>
              <w:bottom w:val="nil"/>
            </w:tcBorders>
          </w:tcPr>
          <w:p w14:paraId="78D52BD3" w14:textId="7777777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rPr>
              <w:t>21. Documento de Identidade</w:t>
            </w:r>
          </w:p>
        </w:tc>
        <w:tc>
          <w:tcPr>
            <w:tcW w:w="5168" w:type="dxa"/>
            <w:tcBorders>
              <w:top w:val="single" w:sz="4" w:space="0" w:color="auto"/>
              <w:bottom w:val="nil"/>
            </w:tcBorders>
          </w:tcPr>
          <w:p w14:paraId="24FF3C95" w14:textId="7777777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21. Identification Document</w:t>
            </w:r>
          </w:p>
        </w:tc>
      </w:tr>
      <w:tr w:rsidR="00D81D3D" w:rsidRPr="0014194B" w14:paraId="4D68FE70" w14:textId="77777777" w:rsidTr="00BE12AD">
        <w:trPr>
          <w:trHeight w:val="20"/>
          <w:jc w:val="center"/>
        </w:trPr>
        <w:tc>
          <w:tcPr>
            <w:tcW w:w="5382" w:type="dxa"/>
            <w:tcBorders>
              <w:top w:val="nil"/>
              <w:bottom w:val="single" w:sz="4" w:space="0" w:color="auto"/>
            </w:tcBorders>
          </w:tcPr>
          <w:sdt>
            <w:sdtPr>
              <w:rPr>
                <w:rFonts w:ascii="Verdana" w:hAnsi="Verdana" w:cs="Arial"/>
                <w:sz w:val="18"/>
                <w:szCs w:val="18"/>
                <w:highlight w:val="lightGray"/>
              </w:rPr>
              <w:id w:val="1619032261"/>
              <w:placeholder>
                <w:docPart w:val="DefaultPlaceholder_-1854013440"/>
              </w:placeholder>
            </w:sdtPr>
            <w:sdtContent>
              <w:p w14:paraId="6DA4846C" w14:textId="47A2165C"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Borders>
              <w:top w:val="nil"/>
              <w:bottom w:val="single" w:sz="4" w:space="0" w:color="auto"/>
            </w:tcBorders>
          </w:tcPr>
          <w:sdt>
            <w:sdtPr>
              <w:rPr>
                <w:rFonts w:ascii="Verdana" w:hAnsi="Verdana" w:cs="Arial"/>
                <w:sz w:val="18"/>
                <w:szCs w:val="18"/>
                <w:highlight w:val="lightGray"/>
              </w:rPr>
              <w:id w:val="177468653"/>
              <w:placeholder>
                <w:docPart w:val="DefaultPlaceholder_-1854013440"/>
              </w:placeholder>
            </w:sdtPr>
            <w:sdtContent>
              <w:p w14:paraId="5B79095C" w14:textId="079F4C96"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D81D3D" w:rsidRPr="0014194B" w14:paraId="3223D8EE" w14:textId="77777777" w:rsidTr="00BE12AD">
        <w:trPr>
          <w:trHeight w:val="20"/>
          <w:jc w:val="center"/>
        </w:trPr>
        <w:tc>
          <w:tcPr>
            <w:tcW w:w="5382" w:type="dxa"/>
            <w:tcBorders>
              <w:top w:val="single" w:sz="4" w:space="0" w:color="auto"/>
              <w:bottom w:val="nil"/>
            </w:tcBorders>
          </w:tcPr>
          <w:p w14:paraId="4FF5FDBB" w14:textId="7777777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rPr>
              <w:t>22. Órgão Emissor</w:t>
            </w:r>
          </w:p>
        </w:tc>
        <w:tc>
          <w:tcPr>
            <w:tcW w:w="5168" w:type="dxa"/>
            <w:tcBorders>
              <w:top w:val="single" w:sz="4" w:space="0" w:color="auto"/>
              <w:bottom w:val="nil"/>
            </w:tcBorders>
          </w:tcPr>
          <w:p w14:paraId="2B13D01E" w14:textId="7777777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22. Issuing Authority</w:t>
            </w:r>
          </w:p>
        </w:tc>
      </w:tr>
      <w:tr w:rsidR="00D81D3D" w:rsidRPr="0014194B" w14:paraId="56955482" w14:textId="77777777" w:rsidTr="00BE12AD">
        <w:trPr>
          <w:trHeight w:val="20"/>
          <w:jc w:val="center"/>
        </w:trPr>
        <w:tc>
          <w:tcPr>
            <w:tcW w:w="5382" w:type="dxa"/>
            <w:tcBorders>
              <w:top w:val="nil"/>
              <w:bottom w:val="single" w:sz="4" w:space="0" w:color="auto"/>
            </w:tcBorders>
          </w:tcPr>
          <w:sdt>
            <w:sdtPr>
              <w:rPr>
                <w:rFonts w:ascii="Verdana" w:hAnsi="Verdana" w:cs="Arial"/>
                <w:sz w:val="18"/>
                <w:szCs w:val="18"/>
                <w:highlight w:val="lightGray"/>
              </w:rPr>
              <w:id w:val="-2077116226"/>
              <w:placeholder>
                <w:docPart w:val="DefaultPlaceholder_-1854013440"/>
              </w:placeholder>
            </w:sdtPr>
            <w:sdtContent>
              <w:p w14:paraId="2445E79F" w14:textId="40F996C1"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Borders>
              <w:top w:val="nil"/>
              <w:bottom w:val="single" w:sz="4" w:space="0" w:color="auto"/>
            </w:tcBorders>
          </w:tcPr>
          <w:sdt>
            <w:sdtPr>
              <w:rPr>
                <w:rFonts w:ascii="Verdana" w:hAnsi="Verdana" w:cs="Arial"/>
                <w:sz w:val="18"/>
                <w:szCs w:val="18"/>
                <w:highlight w:val="lightGray"/>
              </w:rPr>
              <w:id w:val="1043637959"/>
              <w:placeholder>
                <w:docPart w:val="DefaultPlaceholder_-1854013440"/>
              </w:placeholder>
            </w:sdtPr>
            <w:sdtContent>
              <w:p w14:paraId="28D38B57" w14:textId="154BFC4A"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D81D3D" w:rsidRPr="0014194B" w14:paraId="5284F21D" w14:textId="77777777" w:rsidTr="00BE12AD">
        <w:trPr>
          <w:trHeight w:val="20"/>
          <w:jc w:val="center"/>
        </w:trPr>
        <w:tc>
          <w:tcPr>
            <w:tcW w:w="5382" w:type="dxa"/>
            <w:tcBorders>
              <w:top w:val="single" w:sz="4" w:space="0" w:color="auto"/>
              <w:bottom w:val="nil"/>
            </w:tcBorders>
          </w:tcPr>
          <w:p w14:paraId="39D7D924" w14:textId="7777777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rPr>
              <w:t>23. CPF</w:t>
            </w:r>
          </w:p>
        </w:tc>
        <w:tc>
          <w:tcPr>
            <w:tcW w:w="5168" w:type="dxa"/>
            <w:tcBorders>
              <w:top w:val="single" w:sz="4" w:space="0" w:color="auto"/>
              <w:bottom w:val="nil"/>
            </w:tcBorders>
          </w:tcPr>
          <w:p w14:paraId="28B212B8" w14:textId="7777777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23. INDIVIDUAL TAXPAYER REGISTRATION</w:t>
            </w:r>
          </w:p>
        </w:tc>
      </w:tr>
      <w:tr w:rsidR="00D81D3D" w:rsidRPr="0014194B" w14:paraId="108CA8A7" w14:textId="77777777" w:rsidTr="00BE12AD">
        <w:trPr>
          <w:trHeight w:val="20"/>
          <w:jc w:val="center"/>
        </w:trPr>
        <w:tc>
          <w:tcPr>
            <w:tcW w:w="5382" w:type="dxa"/>
            <w:tcBorders>
              <w:top w:val="nil"/>
              <w:bottom w:val="single" w:sz="4" w:space="0" w:color="auto"/>
            </w:tcBorders>
          </w:tcPr>
          <w:sdt>
            <w:sdtPr>
              <w:rPr>
                <w:rFonts w:ascii="Verdana" w:hAnsi="Verdana" w:cs="Arial"/>
                <w:sz w:val="18"/>
                <w:szCs w:val="18"/>
                <w:highlight w:val="lightGray"/>
              </w:rPr>
              <w:id w:val="212000639"/>
              <w:placeholder>
                <w:docPart w:val="DefaultPlaceholder_-1854013440"/>
              </w:placeholder>
            </w:sdtPr>
            <w:sdtContent>
              <w:p w14:paraId="51491122" w14:textId="666330B9"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Borders>
              <w:top w:val="nil"/>
              <w:bottom w:val="single" w:sz="4" w:space="0" w:color="auto"/>
            </w:tcBorders>
          </w:tcPr>
          <w:sdt>
            <w:sdtPr>
              <w:rPr>
                <w:rFonts w:ascii="Verdana" w:hAnsi="Verdana" w:cs="Arial"/>
                <w:sz w:val="18"/>
                <w:szCs w:val="18"/>
                <w:highlight w:val="lightGray"/>
              </w:rPr>
              <w:id w:val="-808935929"/>
              <w:placeholder>
                <w:docPart w:val="DefaultPlaceholder_-1854013440"/>
              </w:placeholder>
            </w:sdtPr>
            <w:sdtContent>
              <w:p w14:paraId="7B2333F1" w14:textId="0EDA4DBB"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D81D3D" w:rsidRPr="0014194B" w14:paraId="7A7CEFF3" w14:textId="77777777" w:rsidTr="00BE12AD">
        <w:trPr>
          <w:trHeight w:val="20"/>
          <w:jc w:val="center"/>
        </w:trPr>
        <w:tc>
          <w:tcPr>
            <w:tcW w:w="5382" w:type="dxa"/>
            <w:tcBorders>
              <w:top w:val="single" w:sz="4" w:space="0" w:color="auto"/>
              <w:bottom w:val="nil"/>
            </w:tcBorders>
          </w:tcPr>
          <w:p w14:paraId="7F2ECB22" w14:textId="7777777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rPr>
              <w:t>24. Telefone/Fax</w:t>
            </w:r>
          </w:p>
        </w:tc>
        <w:tc>
          <w:tcPr>
            <w:tcW w:w="5168" w:type="dxa"/>
            <w:tcBorders>
              <w:top w:val="single" w:sz="4" w:space="0" w:color="auto"/>
              <w:bottom w:val="nil"/>
            </w:tcBorders>
          </w:tcPr>
          <w:p w14:paraId="4133C798" w14:textId="7777777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24. Phone/Fax</w:t>
            </w:r>
          </w:p>
        </w:tc>
      </w:tr>
      <w:tr w:rsidR="00D81D3D" w:rsidRPr="0014194B" w14:paraId="42EC9A2E" w14:textId="77777777" w:rsidTr="00BE12AD">
        <w:trPr>
          <w:trHeight w:val="20"/>
          <w:jc w:val="center"/>
        </w:trPr>
        <w:tc>
          <w:tcPr>
            <w:tcW w:w="5382" w:type="dxa"/>
            <w:tcBorders>
              <w:top w:val="nil"/>
              <w:bottom w:val="single" w:sz="4" w:space="0" w:color="auto"/>
            </w:tcBorders>
          </w:tcPr>
          <w:sdt>
            <w:sdtPr>
              <w:rPr>
                <w:rFonts w:ascii="Verdana" w:hAnsi="Verdana" w:cs="Arial"/>
                <w:sz w:val="18"/>
                <w:szCs w:val="18"/>
                <w:highlight w:val="lightGray"/>
              </w:rPr>
              <w:id w:val="1335965960"/>
              <w:placeholder>
                <w:docPart w:val="DefaultPlaceholder_-1854013440"/>
              </w:placeholder>
            </w:sdtPr>
            <w:sdtContent>
              <w:p w14:paraId="260E4666" w14:textId="68E4AD16"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Borders>
              <w:top w:val="nil"/>
              <w:bottom w:val="single" w:sz="4" w:space="0" w:color="auto"/>
            </w:tcBorders>
          </w:tcPr>
          <w:sdt>
            <w:sdtPr>
              <w:rPr>
                <w:rFonts w:ascii="Verdana" w:hAnsi="Verdana" w:cs="Arial"/>
                <w:sz w:val="18"/>
                <w:szCs w:val="18"/>
                <w:highlight w:val="lightGray"/>
              </w:rPr>
              <w:id w:val="-1426420465"/>
              <w:placeholder>
                <w:docPart w:val="DefaultPlaceholder_-1854013440"/>
              </w:placeholder>
            </w:sdtPr>
            <w:sdtContent>
              <w:p w14:paraId="0CAF7A1E" w14:textId="531B32EC"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D81D3D" w:rsidRPr="00016DC5" w14:paraId="4715FC7B" w14:textId="77777777" w:rsidTr="00BE12AD">
        <w:trPr>
          <w:trHeight w:val="20"/>
          <w:jc w:val="center"/>
        </w:trPr>
        <w:tc>
          <w:tcPr>
            <w:tcW w:w="5382" w:type="dxa"/>
            <w:tcBorders>
              <w:top w:val="single" w:sz="4" w:space="0" w:color="auto"/>
              <w:bottom w:val="nil"/>
            </w:tcBorders>
          </w:tcPr>
          <w:p w14:paraId="09E3A2EB" w14:textId="6A5F52EE"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rPr>
              <w:t xml:space="preserve">25. Quantidade de </w:t>
            </w:r>
            <w:r>
              <w:rPr>
                <w:rFonts w:ascii="Verdana" w:hAnsi="Verdana" w:cs="Arial"/>
                <w:sz w:val="18"/>
                <w:szCs w:val="18"/>
              </w:rPr>
              <w:t xml:space="preserve">Cestas de </w:t>
            </w:r>
            <w:r w:rsidRPr="00295D4D">
              <w:rPr>
                <w:rFonts w:ascii="Verdana" w:hAnsi="Verdana" w:cs="Arial"/>
                <w:sz w:val="18"/>
                <w:szCs w:val="18"/>
              </w:rPr>
              <w:t>Ações para Subscrição Prioritária</w:t>
            </w:r>
          </w:p>
        </w:tc>
        <w:tc>
          <w:tcPr>
            <w:tcW w:w="5168" w:type="dxa"/>
            <w:tcBorders>
              <w:top w:val="single" w:sz="4" w:space="0" w:color="auto"/>
              <w:bottom w:val="nil"/>
            </w:tcBorders>
          </w:tcPr>
          <w:p w14:paraId="7CEDBA6E" w14:textId="2FEF8BB4"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 xml:space="preserve">25. Number of </w:t>
            </w:r>
            <w:r>
              <w:rPr>
                <w:rFonts w:ascii="Verdana" w:hAnsi="Verdana" w:cs="Arial"/>
                <w:sz w:val="18"/>
                <w:szCs w:val="18"/>
                <w:lang w:val="en-US"/>
              </w:rPr>
              <w:t>Basket</w:t>
            </w:r>
            <w:r w:rsidR="00230CAA">
              <w:rPr>
                <w:rFonts w:ascii="Verdana" w:hAnsi="Verdana" w:cs="Arial"/>
                <w:sz w:val="18"/>
                <w:szCs w:val="18"/>
                <w:lang w:val="en-US"/>
              </w:rPr>
              <w:t>s of Shares</w:t>
            </w:r>
            <w:r w:rsidRPr="00295D4D">
              <w:rPr>
                <w:rFonts w:ascii="Verdana" w:hAnsi="Verdana" w:cs="Arial"/>
                <w:sz w:val="18"/>
                <w:szCs w:val="18"/>
                <w:lang w:val="en-US"/>
              </w:rPr>
              <w:t xml:space="preserve"> for Priority Subscription</w:t>
            </w:r>
          </w:p>
        </w:tc>
      </w:tr>
      <w:tr w:rsidR="00D81D3D" w:rsidRPr="0050183C" w14:paraId="7D36CC74" w14:textId="77777777" w:rsidTr="00BE12AD">
        <w:trPr>
          <w:trHeight w:val="20"/>
          <w:jc w:val="center"/>
        </w:trPr>
        <w:tc>
          <w:tcPr>
            <w:tcW w:w="5382" w:type="dxa"/>
            <w:tcBorders>
              <w:top w:val="nil"/>
              <w:bottom w:val="single" w:sz="4" w:space="0" w:color="auto"/>
            </w:tcBorders>
          </w:tcPr>
          <w:p w14:paraId="3183D187" w14:textId="49F08395" w:rsidR="00D81D3D" w:rsidRPr="00295D4D" w:rsidRDefault="00F40443" w:rsidP="00D81D3D">
            <w:pPr>
              <w:tabs>
                <w:tab w:val="left" w:pos="817"/>
              </w:tabs>
              <w:spacing w:line="320" w:lineRule="exact"/>
              <w:rPr>
                <w:rFonts w:ascii="Verdana" w:hAnsi="Verdana" w:cs="Arial"/>
                <w:sz w:val="18"/>
                <w:szCs w:val="18"/>
              </w:rPr>
            </w:pPr>
            <w:sdt>
              <w:sdtPr>
                <w:rPr>
                  <w:rFonts w:ascii="Verdana" w:hAnsi="Verdana" w:cs="Arial"/>
                  <w:sz w:val="18"/>
                  <w:szCs w:val="18"/>
                  <w:highlight w:val="lightGray"/>
                </w:rPr>
                <w:id w:val="1441338871"/>
                <w:placeholder>
                  <w:docPart w:val="DefaultPlaceholder_-1854013440"/>
                </w:placeholder>
              </w:sdtPr>
              <w:sdtContent>
                <w:proofErr w:type="gramStart"/>
                <w:r w:rsidR="00D81D3D" w:rsidRPr="00295D4D">
                  <w:rPr>
                    <w:rFonts w:ascii="Verdana" w:hAnsi="Verdana" w:cs="Arial"/>
                    <w:sz w:val="18"/>
                    <w:szCs w:val="18"/>
                    <w:highlight w:val="lightGray"/>
                  </w:rPr>
                  <w:t>[  ]</w:t>
                </w:r>
                <w:proofErr w:type="gramEnd"/>
              </w:sdtContent>
            </w:sdt>
            <w:r w:rsidR="00D81D3D" w:rsidRPr="00295D4D">
              <w:rPr>
                <w:rFonts w:ascii="Verdana" w:hAnsi="Verdana" w:cs="Arial"/>
                <w:sz w:val="18"/>
                <w:szCs w:val="18"/>
              </w:rPr>
              <w:t xml:space="preserve"> </w:t>
            </w:r>
            <w:r w:rsidR="00D81D3D">
              <w:rPr>
                <w:rFonts w:ascii="Verdana" w:hAnsi="Verdana" w:cs="Arial"/>
                <w:sz w:val="18"/>
                <w:szCs w:val="18"/>
              </w:rPr>
              <w:t xml:space="preserve">Cestas de </w:t>
            </w:r>
            <w:r w:rsidR="00D81D3D" w:rsidRPr="00295D4D">
              <w:rPr>
                <w:rFonts w:ascii="Verdana" w:hAnsi="Verdana" w:cs="Arial"/>
                <w:sz w:val="18"/>
                <w:szCs w:val="18"/>
              </w:rPr>
              <w:t>Ações</w:t>
            </w:r>
          </w:p>
        </w:tc>
        <w:tc>
          <w:tcPr>
            <w:tcW w:w="5168" w:type="dxa"/>
            <w:tcBorders>
              <w:top w:val="nil"/>
              <w:bottom w:val="single" w:sz="4" w:space="0" w:color="auto"/>
            </w:tcBorders>
          </w:tcPr>
          <w:p w14:paraId="2909EF87" w14:textId="1D489064" w:rsidR="00D81D3D" w:rsidRPr="00295D4D" w:rsidRDefault="00F40443" w:rsidP="00D81D3D">
            <w:pPr>
              <w:tabs>
                <w:tab w:val="left" w:pos="817"/>
              </w:tabs>
              <w:spacing w:line="320" w:lineRule="exact"/>
              <w:rPr>
                <w:rFonts w:ascii="Verdana" w:hAnsi="Verdana" w:cs="Arial"/>
                <w:sz w:val="18"/>
                <w:szCs w:val="18"/>
                <w:lang w:val="en-US"/>
              </w:rPr>
            </w:pPr>
            <w:sdt>
              <w:sdtPr>
                <w:rPr>
                  <w:rFonts w:ascii="Verdana" w:hAnsi="Verdana" w:cs="Arial"/>
                  <w:sz w:val="18"/>
                  <w:szCs w:val="18"/>
                  <w:highlight w:val="lightGray"/>
                  <w:lang w:val="en-US"/>
                </w:rPr>
                <w:id w:val="128984670"/>
                <w:placeholder>
                  <w:docPart w:val="DefaultPlaceholder_-1854013440"/>
                </w:placeholder>
              </w:sdtPr>
              <w:sdtContent>
                <w:proofErr w:type="gramStart"/>
                <w:r w:rsidR="00D81D3D" w:rsidRPr="00295D4D">
                  <w:rPr>
                    <w:rFonts w:ascii="Verdana" w:hAnsi="Verdana" w:cs="Arial"/>
                    <w:sz w:val="18"/>
                    <w:szCs w:val="18"/>
                    <w:highlight w:val="lightGray"/>
                    <w:lang w:val="en-US"/>
                  </w:rPr>
                  <w:t>[  ]</w:t>
                </w:r>
                <w:proofErr w:type="gramEnd"/>
              </w:sdtContent>
            </w:sdt>
            <w:r w:rsidR="00D81D3D" w:rsidRPr="00295D4D">
              <w:rPr>
                <w:rFonts w:ascii="Verdana" w:hAnsi="Verdana" w:cs="Arial"/>
                <w:sz w:val="18"/>
                <w:szCs w:val="18"/>
                <w:lang w:val="en-US"/>
              </w:rPr>
              <w:t xml:space="preserve"> </w:t>
            </w:r>
            <w:r w:rsidR="00230CAA">
              <w:rPr>
                <w:rFonts w:ascii="Verdana" w:hAnsi="Verdana" w:cs="Arial"/>
                <w:sz w:val="18"/>
                <w:szCs w:val="18"/>
                <w:lang w:val="en-US"/>
              </w:rPr>
              <w:t>Baskets of Shares</w:t>
            </w:r>
          </w:p>
        </w:tc>
      </w:tr>
      <w:tr w:rsidR="00D81D3D" w:rsidRPr="0014194B" w14:paraId="559F94BD" w14:textId="77777777" w:rsidTr="00BE12AD">
        <w:trPr>
          <w:trHeight w:val="20"/>
          <w:jc w:val="center"/>
        </w:trPr>
        <w:tc>
          <w:tcPr>
            <w:tcW w:w="5382" w:type="dxa"/>
            <w:tcBorders>
              <w:top w:val="single" w:sz="4" w:space="0" w:color="auto"/>
              <w:bottom w:val="single" w:sz="4" w:space="0" w:color="auto"/>
            </w:tcBorders>
          </w:tcPr>
          <w:p w14:paraId="6A2F577E" w14:textId="37BC661D" w:rsidR="00D81D3D" w:rsidRPr="00295D4D" w:rsidRDefault="00D81D3D" w:rsidP="00FA3016">
            <w:pPr>
              <w:tabs>
                <w:tab w:val="left" w:pos="817"/>
              </w:tabs>
              <w:spacing w:line="320" w:lineRule="exact"/>
              <w:jc w:val="both"/>
              <w:rPr>
                <w:rFonts w:ascii="Verdana" w:hAnsi="Verdana" w:cs="Arial"/>
                <w:sz w:val="18"/>
                <w:szCs w:val="18"/>
              </w:rPr>
            </w:pPr>
            <w:r w:rsidRPr="00295D4D">
              <w:rPr>
                <w:rFonts w:ascii="Verdana" w:hAnsi="Verdana" w:cs="Arial"/>
                <w:sz w:val="18"/>
                <w:szCs w:val="18"/>
              </w:rPr>
              <w:t xml:space="preserve">26. </w:t>
            </w:r>
            <w:r w:rsidR="008A0B55">
              <w:rPr>
                <w:rFonts w:ascii="Verdana" w:hAnsi="Verdana" w:cs="Arial"/>
                <w:sz w:val="18"/>
                <w:szCs w:val="18"/>
              </w:rPr>
              <w:t>Preço por Cesta de Ações (</w:t>
            </w:r>
            <w:r w:rsidR="00FA3016">
              <w:rPr>
                <w:rFonts w:ascii="Verdana" w:hAnsi="Verdana" w:cs="Arial"/>
                <w:sz w:val="18"/>
                <w:szCs w:val="18"/>
              </w:rPr>
              <w:t>o Acionista</w:t>
            </w:r>
            <w:r w:rsidR="00FA3016" w:rsidRPr="00FA3016">
              <w:rPr>
                <w:rFonts w:ascii="Verdana" w:hAnsi="Verdana" w:cs="Arial"/>
                <w:sz w:val="18"/>
                <w:szCs w:val="18"/>
              </w:rPr>
              <w:t xml:space="preserve"> deve considerar a variação a taxa de câmbio PTAX no seu pedido</w:t>
            </w:r>
            <w:r w:rsidR="00FA3016">
              <w:rPr>
                <w:rFonts w:ascii="Verdana" w:hAnsi="Verdana" w:cs="Arial"/>
                <w:sz w:val="18"/>
                <w:szCs w:val="18"/>
              </w:rPr>
              <w:t>, conforme divulgado neste Pedido de Subscrição</w:t>
            </w:r>
            <w:r w:rsidR="00B074AF">
              <w:rPr>
                <w:rFonts w:ascii="Verdana" w:hAnsi="Verdana" w:cs="Arial"/>
                <w:sz w:val="18"/>
                <w:szCs w:val="18"/>
              </w:rPr>
              <w:t xml:space="preserve"> Prioritária</w:t>
            </w:r>
            <w:r w:rsidR="00FA3016">
              <w:rPr>
                <w:rFonts w:ascii="Verdana" w:hAnsi="Verdana" w:cs="Arial"/>
                <w:sz w:val="18"/>
                <w:szCs w:val="18"/>
              </w:rPr>
              <w:t xml:space="preserve"> e no Fato Relevante da Oferta</w:t>
            </w:r>
            <w:r w:rsidR="008A0B55">
              <w:rPr>
                <w:rFonts w:ascii="Verdana" w:hAnsi="Verdana" w:cs="Arial"/>
                <w:sz w:val="18"/>
                <w:szCs w:val="18"/>
              </w:rPr>
              <w:t>)</w:t>
            </w:r>
            <w:r w:rsidRPr="00295D4D">
              <w:rPr>
                <w:rFonts w:ascii="Verdana" w:hAnsi="Verdana" w:cs="Arial"/>
                <w:sz w:val="18"/>
                <w:szCs w:val="18"/>
              </w:rPr>
              <w:t xml:space="preserve">: </w:t>
            </w:r>
          </w:p>
          <w:sdt>
            <w:sdtPr>
              <w:rPr>
                <w:rFonts w:ascii="Verdana" w:hAnsi="Verdana" w:cs="Arial"/>
                <w:sz w:val="18"/>
                <w:szCs w:val="18"/>
                <w:highlight w:val="lightGray"/>
              </w:rPr>
              <w:id w:val="641937443"/>
              <w:placeholder>
                <w:docPart w:val="DefaultPlaceholder_-1854013440"/>
              </w:placeholder>
            </w:sdtPr>
            <w:sdtContent>
              <w:p w14:paraId="353C6E4A" w14:textId="3F935B4A"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Borders>
              <w:top w:val="single" w:sz="4" w:space="0" w:color="auto"/>
              <w:bottom w:val="single" w:sz="4" w:space="0" w:color="auto"/>
            </w:tcBorders>
          </w:tcPr>
          <w:p w14:paraId="6A5FEDD6" w14:textId="7128DE3E" w:rsidR="00D81D3D" w:rsidRPr="00B074AF" w:rsidRDefault="00D81D3D" w:rsidP="00B074AF">
            <w:pPr>
              <w:tabs>
                <w:tab w:val="left" w:pos="817"/>
              </w:tabs>
              <w:spacing w:line="320" w:lineRule="exact"/>
              <w:jc w:val="both"/>
              <w:rPr>
                <w:rFonts w:ascii="Verdana" w:hAnsi="Verdana" w:cs="Arial"/>
                <w:sz w:val="18"/>
                <w:szCs w:val="18"/>
              </w:rPr>
            </w:pPr>
            <w:r w:rsidRPr="00295D4D">
              <w:rPr>
                <w:rFonts w:ascii="Verdana" w:hAnsi="Verdana" w:cs="Arial"/>
                <w:sz w:val="18"/>
                <w:szCs w:val="18"/>
                <w:lang w:val="en-US"/>
              </w:rPr>
              <w:t xml:space="preserve">26. </w:t>
            </w:r>
            <w:r w:rsidR="008A0B55">
              <w:rPr>
                <w:rFonts w:ascii="Verdana" w:hAnsi="Verdana" w:cs="Arial"/>
                <w:sz w:val="18"/>
                <w:szCs w:val="18"/>
                <w:lang w:val="en-US"/>
              </w:rPr>
              <w:t>Price per Basket of Shares (</w:t>
            </w:r>
            <w:r w:rsidR="00B074AF" w:rsidRPr="00B074AF">
              <w:rPr>
                <w:rFonts w:ascii="Verdana" w:hAnsi="Verdana" w:cs="Arial"/>
                <w:sz w:val="18"/>
                <w:szCs w:val="18"/>
                <w:lang w:val="en-US"/>
              </w:rPr>
              <w:t>t</w:t>
            </w:r>
            <w:r w:rsidR="00B074AF" w:rsidRPr="00B074AF">
              <w:rPr>
                <w:rFonts w:ascii="Verdana" w:hAnsi="Verdana" w:cs="Arial"/>
                <w:sz w:val="18"/>
                <w:szCs w:val="18"/>
                <w:lang w:val="en-US"/>
              </w:rPr>
              <w:t>he Shareholder must consider the PTAX exchange rate variation in their request, as disclosed in this Priority Subscription Order and in the Material Fact relating to the Offering</w:t>
            </w:r>
            <w:r w:rsidR="008A0B55">
              <w:rPr>
                <w:rFonts w:ascii="Verdana" w:hAnsi="Verdana" w:cs="Arial"/>
                <w:sz w:val="18"/>
                <w:szCs w:val="18"/>
                <w:lang w:val="en-US"/>
              </w:rPr>
              <w:t>):</w:t>
            </w:r>
          </w:p>
          <w:sdt>
            <w:sdtPr>
              <w:rPr>
                <w:rFonts w:ascii="Verdana" w:hAnsi="Verdana" w:cs="Arial"/>
                <w:sz w:val="18"/>
                <w:szCs w:val="18"/>
                <w:highlight w:val="lightGray"/>
              </w:rPr>
              <w:id w:val="-1596242492"/>
              <w:placeholder>
                <w:docPart w:val="DefaultPlaceholder_-1854013440"/>
              </w:placeholder>
            </w:sdtPr>
            <w:sdtContent>
              <w:p w14:paraId="7D342C97" w14:textId="164AD8DA"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2B5212" w:rsidRPr="00016DC5" w14:paraId="7224369E" w14:textId="77777777" w:rsidTr="00BE12AD">
        <w:trPr>
          <w:trHeight w:val="20"/>
          <w:jc w:val="center"/>
        </w:trPr>
        <w:tc>
          <w:tcPr>
            <w:tcW w:w="5382" w:type="dxa"/>
            <w:tcBorders>
              <w:top w:val="single" w:sz="4" w:space="0" w:color="auto"/>
              <w:bottom w:val="single" w:sz="4" w:space="0" w:color="auto"/>
            </w:tcBorders>
          </w:tcPr>
          <w:p w14:paraId="76CCDAC5" w14:textId="2BB2A748" w:rsidR="002B5212" w:rsidRPr="005520B3" w:rsidRDefault="002B5212" w:rsidP="005520B3">
            <w:pPr>
              <w:tabs>
                <w:tab w:val="left" w:pos="817"/>
              </w:tabs>
              <w:spacing w:line="320" w:lineRule="exact"/>
              <w:rPr>
                <w:rFonts w:ascii="Verdana" w:hAnsi="Verdana" w:cs="Arial"/>
                <w:sz w:val="18"/>
                <w:szCs w:val="18"/>
              </w:rPr>
            </w:pPr>
            <w:r w:rsidRPr="005520B3">
              <w:rPr>
                <w:rFonts w:ascii="Verdana" w:hAnsi="Verdana" w:cs="Arial"/>
                <w:sz w:val="18"/>
                <w:szCs w:val="18"/>
              </w:rPr>
              <w:t>27</w:t>
            </w:r>
            <w:r>
              <w:rPr>
                <w:rFonts w:ascii="Verdana" w:hAnsi="Verdana" w:cs="Arial"/>
                <w:sz w:val="18"/>
                <w:szCs w:val="18"/>
              </w:rPr>
              <w:t>. No caso de distribuição parcial:</w:t>
            </w:r>
          </w:p>
          <w:p w14:paraId="1CB345BD" w14:textId="16A67245" w:rsidR="002B5212" w:rsidRPr="00295D4D" w:rsidRDefault="00F40443" w:rsidP="00114458">
            <w:pPr>
              <w:spacing w:line="320" w:lineRule="exact"/>
              <w:rPr>
                <w:rFonts w:ascii="Verdana" w:hAnsi="Verdana" w:cs="Arial"/>
                <w:sz w:val="18"/>
                <w:szCs w:val="18"/>
              </w:rPr>
            </w:pPr>
            <w:sdt>
              <w:sdtPr>
                <w:rPr>
                  <w:rFonts w:ascii="Verdana" w:hAnsi="Verdana" w:cs="Arial"/>
                  <w:sz w:val="18"/>
                  <w:szCs w:val="18"/>
                  <w:highlight w:val="lightGray"/>
                </w:rPr>
                <w:id w:val="351614515"/>
                <w:placeholder>
                  <w:docPart w:val="DefaultPlaceholder_-1854013440"/>
                </w:placeholder>
              </w:sdtPr>
              <w:sdtContent>
                <w:proofErr w:type="gramStart"/>
                <w:r w:rsidR="002B5212" w:rsidRPr="00295D4D">
                  <w:rPr>
                    <w:rFonts w:ascii="Verdana" w:hAnsi="Verdana" w:cs="Arial"/>
                    <w:sz w:val="18"/>
                    <w:szCs w:val="18"/>
                    <w:highlight w:val="lightGray"/>
                  </w:rPr>
                  <w:t>[  ]</w:t>
                </w:r>
                <w:proofErr w:type="gramEnd"/>
              </w:sdtContent>
            </w:sdt>
            <w:r w:rsidR="002B5212">
              <w:rPr>
                <w:rFonts w:ascii="Verdana" w:hAnsi="Verdana" w:cs="Arial"/>
                <w:sz w:val="18"/>
                <w:szCs w:val="18"/>
              </w:rPr>
              <w:t xml:space="preserve"> Adesão condicionada à colocação da totalidade das Ações</w:t>
            </w:r>
          </w:p>
        </w:tc>
        <w:tc>
          <w:tcPr>
            <w:tcW w:w="5168" w:type="dxa"/>
            <w:tcBorders>
              <w:top w:val="single" w:sz="4" w:space="0" w:color="auto"/>
              <w:bottom w:val="single" w:sz="4" w:space="0" w:color="auto"/>
            </w:tcBorders>
          </w:tcPr>
          <w:p w14:paraId="6FF31C72" w14:textId="2F64BA7C" w:rsidR="002B5212" w:rsidRPr="005520B3" w:rsidRDefault="002B5212" w:rsidP="00114458">
            <w:pPr>
              <w:spacing w:line="320" w:lineRule="exact"/>
              <w:rPr>
                <w:rFonts w:ascii="Verdana" w:hAnsi="Verdana" w:cs="Arial"/>
                <w:sz w:val="18"/>
                <w:szCs w:val="18"/>
                <w:lang w:val="en-US"/>
              </w:rPr>
            </w:pPr>
            <w:r w:rsidRPr="005520B3">
              <w:rPr>
                <w:rFonts w:ascii="Verdana" w:hAnsi="Verdana" w:cs="Arial"/>
                <w:sz w:val="18"/>
                <w:szCs w:val="18"/>
                <w:lang w:val="en-US"/>
              </w:rPr>
              <w:t>27. In the event of a partial distribution:</w:t>
            </w:r>
          </w:p>
          <w:p w14:paraId="248735B5" w14:textId="2D76275E" w:rsidR="002B5212" w:rsidRPr="00C07A1B" w:rsidRDefault="00F40443" w:rsidP="00114458">
            <w:pPr>
              <w:spacing w:line="320" w:lineRule="exact"/>
              <w:rPr>
                <w:rFonts w:ascii="Verdana" w:hAnsi="Verdana" w:cs="Arial"/>
                <w:sz w:val="18"/>
                <w:szCs w:val="18"/>
                <w:lang w:val="en-US"/>
              </w:rPr>
            </w:pPr>
            <w:sdt>
              <w:sdtPr>
                <w:rPr>
                  <w:rFonts w:ascii="Verdana" w:hAnsi="Verdana" w:cs="Arial"/>
                  <w:sz w:val="18"/>
                  <w:szCs w:val="18"/>
                  <w:highlight w:val="lightGray"/>
                  <w:lang w:val="en-US"/>
                </w:rPr>
                <w:id w:val="1369567017"/>
                <w:placeholder>
                  <w:docPart w:val="DefaultPlaceholder_-1854013440"/>
                </w:placeholder>
              </w:sdtPr>
              <w:sdtContent>
                <w:proofErr w:type="gramStart"/>
                <w:r w:rsidR="002B5212" w:rsidRPr="00114458">
                  <w:rPr>
                    <w:rFonts w:ascii="Verdana" w:hAnsi="Verdana" w:cs="Arial"/>
                    <w:sz w:val="18"/>
                    <w:szCs w:val="18"/>
                    <w:highlight w:val="lightGray"/>
                    <w:lang w:val="en-US"/>
                  </w:rPr>
                  <w:t>[  ]</w:t>
                </w:r>
                <w:proofErr w:type="gramEnd"/>
              </w:sdtContent>
            </w:sdt>
            <w:r w:rsidR="002B5212" w:rsidRPr="00114458">
              <w:rPr>
                <w:rFonts w:ascii="Verdana" w:hAnsi="Verdana" w:cs="Arial"/>
                <w:sz w:val="18"/>
                <w:szCs w:val="18"/>
                <w:lang w:val="en-US"/>
              </w:rPr>
              <w:t xml:space="preserve"> Adherence </w:t>
            </w:r>
            <w:r w:rsidR="002B5212" w:rsidRPr="00C07A1B">
              <w:rPr>
                <w:rFonts w:ascii="Verdana" w:hAnsi="Verdana" w:cs="Arial"/>
                <w:sz w:val="18"/>
                <w:szCs w:val="18"/>
                <w:lang w:val="en-US"/>
              </w:rPr>
              <w:t>conditioned</w:t>
            </w:r>
            <w:r w:rsidR="002B5212" w:rsidRPr="00114458">
              <w:rPr>
                <w:rFonts w:ascii="Verdana" w:hAnsi="Verdana" w:cs="Arial"/>
                <w:sz w:val="18"/>
                <w:szCs w:val="18"/>
                <w:lang w:val="en-US"/>
              </w:rPr>
              <w:t xml:space="preserve"> to the place</w:t>
            </w:r>
            <w:r w:rsidR="002B5212">
              <w:rPr>
                <w:rFonts w:ascii="Verdana" w:hAnsi="Verdana" w:cs="Arial"/>
                <w:sz w:val="18"/>
                <w:szCs w:val="18"/>
                <w:lang w:val="en-US"/>
              </w:rPr>
              <w:t>ment of all Shares</w:t>
            </w:r>
          </w:p>
        </w:tc>
      </w:tr>
      <w:tr w:rsidR="002B5212" w:rsidRPr="00016DC5" w14:paraId="1B2765C5" w14:textId="77777777" w:rsidTr="00BE12AD">
        <w:trPr>
          <w:trHeight w:val="20"/>
          <w:jc w:val="center"/>
        </w:trPr>
        <w:tc>
          <w:tcPr>
            <w:tcW w:w="5382" w:type="dxa"/>
            <w:tcBorders>
              <w:top w:val="single" w:sz="4" w:space="0" w:color="auto"/>
              <w:bottom w:val="single" w:sz="4" w:space="0" w:color="auto"/>
            </w:tcBorders>
          </w:tcPr>
          <w:p w14:paraId="725051BE" w14:textId="77777777" w:rsidR="002B5212" w:rsidRPr="002B5212" w:rsidRDefault="002B5212" w:rsidP="00114458">
            <w:pPr>
              <w:spacing w:line="320" w:lineRule="exact"/>
              <w:rPr>
                <w:rFonts w:ascii="Verdana" w:hAnsi="Verdana" w:cs="Arial"/>
                <w:sz w:val="18"/>
                <w:szCs w:val="18"/>
                <w:lang w:val="en-US"/>
              </w:rPr>
            </w:pPr>
          </w:p>
        </w:tc>
        <w:tc>
          <w:tcPr>
            <w:tcW w:w="5168" w:type="dxa"/>
            <w:tcBorders>
              <w:top w:val="single" w:sz="4" w:space="0" w:color="auto"/>
              <w:bottom w:val="single" w:sz="4" w:space="0" w:color="auto"/>
            </w:tcBorders>
          </w:tcPr>
          <w:p w14:paraId="0E5CDA17" w14:textId="77777777" w:rsidR="002B5212" w:rsidRPr="00C07A1B" w:rsidRDefault="002B5212" w:rsidP="00114458">
            <w:pPr>
              <w:spacing w:line="320" w:lineRule="exact"/>
              <w:rPr>
                <w:rFonts w:ascii="Verdana" w:hAnsi="Verdana" w:cs="Arial"/>
                <w:sz w:val="18"/>
                <w:szCs w:val="18"/>
                <w:lang w:val="en-US"/>
              </w:rPr>
            </w:pPr>
          </w:p>
        </w:tc>
      </w:tr>
      <w:tr w:rsidR="002B5212" w:rsidRPr="00016DC5" w14:paraId="6091A079" w14:textId="77777777" w:rsidTr="00BE12AD">
        <w:trPr>
          <w:trHeight w:val="20"/>
          <w:jc w:val="center"/>
        </w:trPr>
        <w:tc>
          <w:tcPr>
            <w:tcW w:w="5382" w:type="dxa"/>
            <w:tcBorders>
              <w:top w:val="single" w:sz="4" w:space="0" w:color="auto"/>
              <w:bottom w:val="single" w:sz="4" w:space="0" w:color="auto"/>
            </w:tcBorders>
          </w:tcPr>
          <w:p w14:paraId="5177FFFF" w14:textId="73B750A9" w:rsidR="002B5212" w:rsidRPr="00114458" w:rsidRDefault="00F40443" w:rsidP="00114458">
            <w:pPr>
              <w:spacing w:line="320" w:lineRule="exact"/>
              <w:rPr>
                <w:rFonts w:ascii="Verdana" w:hAnsi="Verdana" w:cs="Arial"/>
                <w:sz w:val="18"/>
                <w:szCs w:val="18"/>
              </w:rPr>
            </w:pPr>
            <w:sdt>
              <w:sdtPr>
                <w:rPr>
                  <w:rFonts w:ascii="Verdana" w:hAnsi="Verdana" w:cs="Arial"/>
                  <w:sz w:val="18"/>
                  <w:szCs w:val="18"/>
                  <w:highlight w:val="lightGray"/>
                </w:rPr>
                <w:id w:val="-1254421059"/>
                <w:placeholder>
                  <w:docPart w:val="DefaultPlaceholder_-1854013440"/>
                </w:placeholder>
              </w:sdtPr>
              <w:sdtContent>
                <w:proofErr w:type="gramStart"/>
                <w:r w:rsidR="002B5212" w:rsidRPr="00295D4D">
                  <w:rPr>
                    <w:rFonts w:ascii="Verdana" w:hAnsi="Verdana" w:cs="Arial"/>
                    <w:sz w:val="18"/>
                    <w:szCs w:val="18"/>
                    <w:highlight w:val="lightGray"/>
                  </w:rPr>
                  <w:t>[  ]</w:t>
                </w:r>
                <w:proofErr w:type="gramEnd"/>
              </w:sdtContent>
            </w:sdt>
            <w:r w:rsidR="002B5212">
              <w:rPr>
                <w:rFonts w:ascii="Verdana" w:hAnsi="Verdana" w:cs="Arial"/>
                <w:sz w:val="18"/>
                <w:szCs w:val="18"/>
              </w:rPr>
              <w:t xml:space="preserve"> Adesão condicionada à colocação </w:t>
            </w:r>
            <w:r w:rsidR="008A0B55" w:rsidRPr="008A0B55">
              <w:rPr>
                <w:rFonts w:ascii="Verdana" w:hAnsi="Verdana" w:cs="Arial"/>
                <w:sz w:val="18"/>
                <w:szCs w:val="18"/>
              </w:rPr>
              <w:t>de uma quantidade maior ou igual à Quantidade Mínima de Ações</w:t>
            </w:r>
            <w:r w:rsidR="002B5212">
              <w:rPr>
                <w:rFonts w:ascii="Verdana" w:hAnsi="Verdana" w:cs="Arial"/>
                <w:sz w:val="18"/>
                <w:szCs w:val="18"/>
              </w:rPr>
              <w:t>, observado que, uma vez implementada, devo receber:</w:t>
            </w:r>
          </w:p>
        </w:tc>
        <w:tc>
          <w:tcPr>
            <w:tcW w:w="5168" w:type="dxa"/>
            <w:tcBorders>
              <w:top w:val="single" w:sz="4" w:space="0" w:color="auto"/>
              <w:bottom w:val="single" w:sz="4" w:space="0" w:color="auto"/>
            </w:tcBorders>
          </w:tcPr>
          <w:p w14:paraId="03A4B3C8" w14:textId="3CB5D85F" w:rsidR="002B5212" w:rsidRPr="002B5212" w:rsidRDefault="00F40443" w:rsidP="00114458">
            <w:pPr>
              <w:spacing w:line="320" w:lineRule="exact"/>
              <w:rPr>
                <w:rFonts w:ascii="Verdana" w:hAnsi="Verdana" w:cs="Arial"/>
                <w:sz w:val="18"/>
                <w:szCs w:val="18"/>
                <w:lang w:val="en-US"/>
              </w:rPr>
            </w:pPr>
            <w:sdt>
              <w:sdtPr>
                <w:rPr>
                  <w:rFonts w:ascii="Verdana" w:hAnsi="Verdana" w:cs="Arial"/>
                  <w:sz w:val="18"/>
                  <w:szCs w:val="18"/>
                  <w:highlight w:val="lightGray"/>
                  <w:lang w:val="en-US"/>
                </w:rPr>
                <w:id w:val="1316231704"/>
                <w:placeholder>
                  <w:docPart w:val="DefaultPlaceholder_-1854013440"/>
                </w:placeholder>
              </w:sdtPr>
              <w:sdtContent>
                <w:proofErr w:type="gramStart"/>
                <w:r w:rsidR="002B5212" w:rsidRPr="00114458">
                  <w:rPr>
                    <w:rFonts w:ascii="Verdana" w:hAnsi="Verdana" w:cs="Arial"/>
                    <w:sz w:val="18"/>
                    <w:szCs w:val="18"/>
                    <w:highlight w:val="lightGray"/>
                    <w:lang w:val="en-US"/>
                  </w:rPr>
                  <w:t>[  ]</w:t>
                </w:r>
                <w:proofErr w:type="gramEnd"/>
              </w:sdtContent>
            </w:sdt>
            <w:r w:rsidR="002B5212" w:rsidRPr="00114458">
              <w:rPr>
                <w:rFonts w:ascii="Verdana" w:hAnsi="Verdana" w:cs="Arial"/>
                <w:sz w:val="18"/>
                <w:szCs w:val="18"/>
                <w:lang w:val="en-US"/>
              </w:rPr>
              <w:t xml:space="preserve"> Adherence </w:t>
            </w:r>
            <w:r w:rsidR="002B5212" w:rsidRPr="00C07A1B">
              <w:rPr>
                <w:rFonts w:ascii="Verdana" w:hAnsi="Verdana" w:cs="Arial"/>
                <w:sz w:val="18"/>
                <w:szCs w:val="18"/>
                <w:lang w:val="en-US"/>
              </w:rPr>
              <w:t>conditioned</w:t>
            </w:r>
            <w:r w:rsidR="002B5212" w:rsidRPr="00114458">
              <w:rPr>
                <w:rFonts w:ascii="Verdana" w:hAnsi="Verdana" w:cs="Arial"/>
                <w:sz w:val="18"/>
                <w:szCs w:val="18"/>
                <w:lang w:val="en-US"/>
              </w:rPr>
              <w:t xml:space="preserve"> to the place</w:t>
            </w:r>
            <w:r w:rsidR="002B5212">
              <w:rPr>
                <w:rFonts w:ascii="Verdana" w:hAnsi="Verdana" w:cs="Arial"/>
                <w:sz w:val="18"/>
                <w:szCs w:val="18"/>
                <w:lang w:val="en-US"/>
              </w:rPr>
              <w:t xml:space="preserve">ment of </w:t>
            </w:r>
            <w:r w:rsidR="00C2728A">
              <w:rPr>
                <w:rFonts w:ascii="Verdana" w:hAnsi="Verdana" w:cs="Arial"/>
                <w:sz w:val="18"/>
                <w:szCs w:val="18"/>
                <w:lang w:val="en-US"/>
              </w:rPr>
              <w:t>a number equal or higher than the Minimum Number of Shares</w:t>
            </w:r>
            <w:r w:rsidR="002B5212">
              <w:rPr>
                <w:rFonts w:ascii="Verdana" w:hAnsi="Verdana" w:cs="Arial"/>
                <w:sz w:val="18"/>
                <w:szCs w:val="18"/>
                <w:lang w:val="en-US"/>
              </w:rPr>
              <w:t>, pursuant to with, once implemented, shall receive:</w:t>
            </w:r>
          </w:p>
        </w:tc>
      </w:tr>
      <w:tr w:rsidR="002B5212" w:rsidRPr="00016DC5" w14:paraId="14C448C7" w14:textId="77777777" w:rsidTr="00BE12AD">
        <w:trPr>
          <w:trHeight w:val="20"/>
          <w:jc w:val="center"/>
        </w:trPr>
        <w:tc>
          <w:tcPr>
            <w:tcW w:w="5382" w:type="dxa"/>
            <w:tcBorders>
              <w:top w:val="single" w:sz="4" w:space="0" w:color="auto"/>
              <w:bottom w:val="single" w:sz="4" w:space="0" w:color="auto"/>
            </w:tcBorders>
          </w:tcPr>
          <w:p w14:paraId="4DC6313A" w14:textId="1482EE1C" w:rsidR="002B5212" w:rsidRPr="00114458" w:rsidRDefault="00F40443" w:rsidP="00114458">
            <w:pPr>
              <w:pStyle w:val="PargrafodaLista"/>
              <w:spacing w:line="320" w:lineRule="exact"/>
              <w:ind w:left="720"/>
              <w:rPr>
                <w:rFonts w:ascii="Verdana" w:hAnsi="Verdana" w:cs="Arial"/>
                <w:sz w:val="18"/>
                <w:szCs w:val="18"/>
              </w:rPr>
            </w:pPr>
            <w:sdt>
              <w:sdtPr>
                <w:rPr>
                  <w:rFonts w:ascii="Verdana" w:hAnsi="Verdana" w:cs="Arial"/>
                  <w:sz w:val="18"/>
                  <w:szCs w:val="18"/>
                  <w:highlight w:val="lightGray"/>
                </w:rPr>
                <w:id w:val="-68579610"/>
                <w:placeholder>
                  <w:docPart w:val="DefaultPlaceholder_-1854013440"/>
                </w:placeholder>
              </w:sdtPr>
              <w:sdtContent>
                <w:proofErr w:type="gramStart"/>
                <w:r w:rsidR="002B5212" w:rsidRPr="00114458">
                  <w:rPr>
                    <w:rFonts w:ascii="Verdana" w:hAnsi="Verdana" w:cs="Arial"/>
                    <w:sz w:val="18"/>
                    <w:szCs w:val="18"/>
                    <w:highlight w:val="lightGray"/>
                  </w:rPr>
                  <w:t>[  ]</w:t>
                </w:r>
                <w:proofErr w:type="gramEnd"/>
              </w:sdtContent>
            </w:sdt>
            <w:r w:rsidR="002B5212" w:rsidRPr="00114458">
              <w:rPr>
                <w:rFonts w:ascii="Verdana" w:hAnsi="Verdana" w:cs="Arial"/>
                <w:sz w:val="18"/>
                <w:szCs w:val="18"/>
              </w:rPr>
              <w:t xml:space="preserve"> a totalidade das Cestas de Ações</w:t>
            </w:r>
            <w:r w:rsidR="002B5212">
              <w:rPr>
                <w:rFonts w:ascii="Verdana" w:hAnsi="Verdana" w:cs="Arial"/>
                <w:sz w:val="18"/>
                <w:szCs w:val="18"/>
              </w:rPr>
              <w:t xml:space="preserve"> indicadas no item 25 acima</w:t>
            </w:r>
          </w:p>
        </w:tc>
        <w:tc>
          <w:tcPr>
            <w:tcW w:w="5168" w:type="dxa"/>
            <w:tcBorders>
              <w:top w:val="single" w:sz="4" w:space="0" w:color="auto"/>
              <w:bottom w:val="single" w:sz="4" w:space="0" w:color="auto"/>
            </w:tcBorders>
          </w:tcPr>
          <w:p w14:paraId="475B4DCB" w14:textId="44ED4D95" w:rsidR="002B5212" w:rsidRPr="002B5212" w:rsidRDefault="00F40443" w:rsidP="00114458">
            <w:pPr>
              <w:pStyle w:val="PargrafodaLista"/>
              <w:spacing w:line="320" w:lineRule="exact"/>
              <w:ind w:left="720"/>
              <w:rPr>
                <w:rFonts w:ascii="Verdana" w:hAnsi="Verdana" w:cs="Arial"/>
                <w:sz w:val="18"/>
                <w:szCs w:val="18"/>
                <w:lang w:val="en-US"/>
              </w:rPr>
            </w:pPr>
            <w:sdt>
              <w:sdtPr>
                <w:rPr>
                  <w:rFonts w:ascii="Verdana" w:hAnsi="Verdana" w:cs="Arial"/>
                  <w:sz w:val="18"/>
                  <w:szCs w:val="18"/>
                  <w:highlight w:val="lightGray"/>
                  <w:lang w:val="en-US"/>
                </w:rPr>
                <w:id w:val="-1114903860"/>
                <w:placeholder>
                  <w:docPart w:val="DefaultPlaceholder_-1854013440"/>
                </w:placeholder>
              </w:sdtPr>
              <w:sdtContent>
                <w:proofErr w:type="gramStart"/>
                <w:r w:rsidR="002B5212" w:rsidRPr="00114458">
                  <w:rPr>
                    <w:rFonts w:ascii="Verdana" w:hAnsi="Verdana" w:cs="Arial"/>
                    <w:sz w:val="18"/>
                    <w:szCs w:val="18"/>
                    <w:highlight w:val="lightGray"/>
                    <w:lang w:val="en-US"/>
                  </w:rPr>
                  <w:t>[  ]</w:t>
                </w:r>
                <w:proofErr w:type="gramEnd"/>
              </w:sdtContent>
            </w:sdt>
            <w:r w:rsidR="002B5212" w:rsidRPr="00114458">
              <w:rPr>
                <w:rFonts w:ascii="Verdana" w:hAnsi="Verdana" w:cs="Arial"/>
                <w:sz w:val="18"/>
                <w:szCs w:val="18"/>
                <w:lang w:val="en-US"/>
              </w:rPr>
              <w:t xml:space="preserve"> all </w:t>
            </w:r>
            <w:r w:rsidR="00230CAA">
              <w:rPr>
                <w:rFonts w:ascii="Verdana" w:hAnsi="Verdana" w:cs="Arial"/>
                <w:sz w:val="18"/>
                <w:szCs w:val="18"/>
                <w:lang w:val="en-US"/>
              </w:rPr>
              <w:t>Baskets of Shares</w:t>
            </w:r>
            <w:r w:rsidR="002B5212" w:rsidRPr="00114458">
              <w:rPr>
                <w:rFonts w:ascii="Verdana" w:hAnsi="Verdana" w:cs="Arial"/>
                <w:sz w:val="18"/>
                <w:szCs w:val="18"/>
                <w:lang w:val="en-US"/>
              </w:rPr>
              <w:t xml:space="preserve"> indicated </w:t>
            </w:r>
            <w:r w:rsidR="002B5212">
              <w:rPr>
                <w:rFonts w:ascii="Verdana" w:hAnsi="Verdana" w:cs="Arial"/>
                <w:sz w:val="18"/>
                <w:szCs w:val="18"/>
                <w:lang w:val="en-US"/>
              </w:rPr>
              <w:t xml:space="preserve">in item </w:t>
            </w:r>
            <w:r w:rsidR="002B5212" w:rsidRPr="00114458">
              <w:rPr>
                <w:rFonts w:ascii="Verdana" w:hAnsi="Verdana" w:cs="Arial"/>
                <w:sz w:val="18"/>
                <w:szCs w:val="18"/>
                <w:lang w:val="en-US"/>
              </w:rPr>
              <w:t xml:space="preserve">25 </w:t>
            </w:r>
            <w:r w:rsidR="002B5212">
              <w:rPr>
                <w:rFonts w:ascii="Verdana" w:hAnsi="Verdana" w:cs="Arial"/>
                <w:sz w:val="18"/>
                <w:szCs w:val="18"/>
                <w:lang w:val="en-US"/>
              </w:rPr>
              <w:t>above</w:t>
            </w:r>
          </w:p>
        </w:tc>
      </w:tr>
      <w:tr w:rsidR="002B5212" w:rsidRPr="00016DC5" w14:paraId="6D14401B" w14:textId="77777777" w:rsidTr="00BE12AD">
        <w:trPr>
          <w:trHeight w:val="20"/>
          <w:jc w:val="center"/>
        </w:trPr>
        <w:tc>
          <w:tcPr>
            <w:tcW w:w="5382" w:type="dxa"/>
            <w:tcBorders>
              <w:top w:val="single" w:sz="4" w:space="0" w:color="auto"/>
              <w:bottom w:val="single" w:sz="4" w:space="0" w:color="auto"/>
            </w:tcBorders>
          </w:tcPr>
          <w:p w14:paraId="4928C093" w14:textId="3375CD28" w:rsidR="002B5212" w:rsidRPr="00114458" w:rsidRDefault="00F40443" w:rsidP="00114458">
            <w:pPr>
              <w:pStyle w:val="PargrafodaLista"/>
              <w:spacing w:line="320" w:lineRule="exact"/>
              <w:ind w:left="720"/>
              <w:rPr>
                <w:rFonts w:ascii="Verdana" w:hAnsi="Verdana" w:cs="Arial"/>
                <w:sz w:val="18"/>
                <w:szCs w:val="18"/>
              </w:rPr>
            </w:pPr>
            <w:sdt>
              <w:sdtPr>
                <w:rPr>
                  <w:rFonts w:ascii="Verdana" w:hAnsi="Verdana" w:cs="Arial"/>
                  <w:sz w:val="18"/>
                  <w:szCs w:val="18"/>
                  <w:highlight w:val="lightGray"/>
                </w:rPr>
                <w:id w:val="-1835590587"/>
                <w:placeholder>
                  <w:docPart w:val="DefaultPlaceholder_-1854013440"/>
                </w:placeholder>
              </w:sdtPr>
              <w:sdtContent>
                <w:proofErr w:type="gramStart"/>
                <w:r w:rsidR="002B5212" w:rsidRPr="00114458">
                  <w:rPr>
                    <w:rFonts w:ascii="Verdana" w:hAnsi="Verdana" w:cs="Arial"/>
                    <w:sz w:val="18"/>
                    <w:szCs w:val="18"/>
                    <w:highlight w:val="lightGray"/>
                  </w:rPr>
                  <w:t>[  ]</w:t>
                </w:r>
                <w:proofErr w:type="gramEnd"/>
              </w:sdtContent>
            </w:sdt>
            <w:r w:rsidR="002B5212" w:rsidRPr="00114458">
              <w:rPr>
                <w:rFonts w:ascii="Verdana" w:hAnsi="Verdana" w:cs="Arial"/>
                <w:sz w:val="18"/>
                <w:szCs w:val="18"/>
              </w:rPr>
              <w:t xml:space="preserve"> </w:t>
            </w:r>
            <w:r w:rsidR="008A608C" w:rsidRPr="00114458">
              <w:rPr>
                <w:rFonts w:ascii="Verdana" w:hAnsi="Verdana" w:cs="Arial"/>
                <w:sz w:val="18"/>
                <w:szCs w:val="18"/>
              </w:rPr>
              <w:t>a totalidade das Cestas de Ações</w:t>
            </w:r>
            <w:r w:rsidR="008A608C">
              <w:rPr>
                <w:rFonts w:ascii="Verdana" w:hAnsi="Verdana" w:cs="Arial"/>
                <w:sz w:val="18"/>
                <w:szCs w:val="18"/>
              </w:rPr>
              <w:t xml:space="preserve"> indicadas no item 25 acima multiplicado pela </w:t>
            </w:r>
            <w:r w:rsidR="008A1F8B">
              <w:rPr>
                <w:rFonts w:ascii="Verdana" w:hAnsi="Verdana" w:cs="Arial"/>
                <w:sz w:val="18"/>
                <w:szCs w:val="18"/>
              </w:rPr>
              <w:t xml:space="preserve">quantidade de Cestas de Ações equivalente a </w:t>
            </w:r>
            <w:r w:rsidR="008A1F8B" w:rsidRPr="008A1F8B">
              <w:rPr>
                <w:rFonts w:ascii="Verdana" w:hAnsi="Verdana" w:cs="Arial"/>
                <w:sz w:val="18"/>
                <w:szCs w:val="18"/>
              </w:rPr>
              <w:t>proporção entre a quantidade de Ações efetivamente colocadas e a quantidade de Ações originalmente objeto da Oferta Prioritária</w:t>
            </w:r>
          </w:p>
        </w:tc>
        <w:tc>
          <w:tcPr>
            <w:tcW w:w="5168" w:type="dxa"/>
            <w:tcBorders>
              <w:top w:val="single" w:sz="4" w:space="0" w:color="auto"/>
              <w:bottom w:val="single" w:sz="4" w:space="0" w:color="auto"/>
            </w:tcBorders>
          </w:tcPr>
          <w:p w14:paraId="3B70AFC7" w14:textId="70EE1B6E" w:rsidR="002B5212" w:rsidRPr="00FA3016" w:rsidRDefault="00F40443" w:rsidP="00114458">
            <w:pPr>
              <w:pStyle w:val="PargrafodaLista"/>
              <w:spacing w:line="320" w:lineRule="exact"/>
              <w:ind w:left="720"/>
              <w:rPr>
                <w:rFonts w:ascii="Verdana" w:hAnsi="Verdana" w:cs="Arial"/>
                <w:sz w:val="18"/>
                <w:szCs w:val="18"/>
                <w:lang w:val="en-US"/>
              </w:rPr>
            </w:pPr>
            <w:sdt>
              <w:sdtPr>
                <w:rPr>
                  <w:rFonts w:ascii="Verdana" w:hAnsi="Verdana" w:cs="Arial"/>
                  <w:sz w:val="18"/>
                  <w:szCs w:val="18"/>
                  <w:highlight w:val="lightGray"/>
                  <w:lang w:val="en-US"/>
                </w:rPr>
                <w:id w:val="-214050191"/>
                <w:placeholder>
                  <w:docPart w:val="DefaultPlaceholder_-1854013440"/>
                </w:placeholder>
              </w:sdtPr>
              <w:sdtContent>
                <w:proofErr w:type="gramStart"/>
                <w:r w:rsidR="002B5212" w:rsidRPr="00FA3016">
                  <w:rPr>
                    <w:rFonts w:ascii="Verdana" w:hAnsi="Verdana" w:cs="Arial"/>
                    <w:sz w:val="18"/>
                    <w:szCs w:val="18"/>
                    <w:highlight w:val="lightGray"/>
                    <w:lang w:val="en-US"/>
                  </w:rPr>
                  <w:t>[  ]</w:t>
                </w:r>
                <w:proofErr w:type="gramEnd"/>
              </w:sdtContent>
            </w:sdt>
            <w:r w:rsidR="002B5212" w:rsidRPr="00FA3016">
              <w:rPr>
                <w:rFonts w:ascii="Verdana" w:hAnsi="Verdana" w:cs="Arial"/>
                <w:sz w:val="18"/>
                <w:szCs w:val="18"/>
                <w:lang w:val="en-US"/>
              </w:rPr>
              <w:t xml:space="preserve"> </w:t>
            </w:r>
            <w:r w:rsidR="008A608C">
              <w:rPr>
                <w:rFonts w:ascii="Verdana" w:hAnsi="Verdana" w:cs="Arial"/>
                <w:sz w:val="18"/>
                <w:szCs w:val="18"/>
                <w:lang w:val="en-US"/>
              </w:rPr>
              <w:t xml:space="preserve">the </w:t>
            </w:r>
            <w:r w:rsidR="00C2728A">
              <w:rPr>
                <w:rFonts w:ascii="Verdana" w:hAnsi="Verdana" w:cs="Arial"/>
                <w:sz w:val="18"/>
                <w:szCs w:val="18"/>
                <w:lang w:val="en-US"/>
              </w:rPr>
              <w:t xml:space="preserve">number of Basket of Shares </w:t>
            </w:r>
            <w:r w:rsidR="008A608C" w:rsidRPr="00114458">
              <w:rPr>
                <w:rFonts w:ascii="Verdana" w:hAnsi="Verdana" w:cs="Arial"/>
                <w:sz w:val="18"/>
                <w:szCs w:val="18"/>
                <w:lang w:val="en-US"/>
              </w:rPr>
              <w:t xml:space="preserve">indicated </w:t>
            </w:r>
            <w:r w:rsidR="008A608C">
              <w:rPr>
                <w:rFonts w:ascii="Verdana" w:hAnsi="Verdana" w:cs="Arial"/>
                <w:sz w:val="18"/>
                <w:szCs w:val="18"/>
                <w:lang w:val="en-US"/>
              </w:rPr>
              <w:t xml:space="preserve">in item </w:t>
            </w:r>
            <w:r w:rsidR="008A608C" w:rsidRPr="00114458">
              <w:rPr>
                <w:rFonts w:ascii="Verdana" w:hAnsi="Verdana" w:cs="Arial"/>
                <w:sz w:val="18"/>
                <w:szCs w:val="18"/>
                <w:lang w:val="en-US"/>
              </w:rPr>
              <w:t xml:space="preserve">25 </w:t>
            </w:r>
            <w:r w:rsidR="008A608C">
              <w:rPr>
                <w:rFonts w:ascii="Verdana" w:hAnsi="Verdana" w:cs="Arial"/>
                <w:sz w:val="18"/>
                <w:szCs w:val="18"/>
                <w:lang w:val="en-US"/>
              </w:rPr>
              <w:t xml:space="preserve">above multiplied by </w:t>
            </w:r>
            <w:r w:rsidR="008A608C" w:rsidRPr="008A608C">
              <w:rPr>
                <w:rFonts w:ascii="Verdana" w:hAnsi="Verdana" w:cs="Arial"/>
                <w:sz w:val="18"/>
                <w:szCs w:val="18"/>
                <w:lang w:val="en-US"/>
              </w:rPr>
              <w:t>the proportion between the number of Shares effectively placed and the number of Shares originally subject to the Priority Offer</w:t>
            </w:r>
          </w:p>
        </w:tc>
      </w:tr>
      <w:tr w:rsidR="00C07A1B" w:rsidRPr="00016DC5" w14:paraId="71812B58" w14:textId="77777777" w:rsidTr="00BE12AD">
        <w:trPr>
          <w:trHeight w:val="20"/>
          <w:jc w:val="center"/>
        </w:trPr>
        <w:tc>
          <w:tcPr>
            <w:tcW w:w="5382" w:type="dxa"/>
            <w:tcBorders>
              <w:top w:val="single" w:sz="4" w:space="0" w:color="auto"/>
              <w:bottom w:val="nil"/>
            </w:tcBorders>
          </w:tcPr>
          <w:p w14:paraId="76080B92" w14:textId="77777777" w:rsidR="00C07A1B" w:rsidRPr="00FA3016" w:rsidRDefault="00C07A1B" w:rsidP="00D81D3D">
            <w:pPr>
              <w:tabs>
                <w:tab w:val="left" w:pos="817"/>
              </w:tabs>
              <w:spacing w:line="320" w:lineRule="exact"/>
              <w:jc w:val="center"/>
              <w:rPr>
                <w:rFonts w:ascii="Verdana" w:hAnsi="Verdana" w:cs="Arial"/>
                <w:b/>
                <w:sz w:val="18"/>
                <w:szCs w:val="18"/>
                <w:lang w:val="en-US"/>
              </w:rPr>
            </w:pPr>
          </w:p>
        </w:tc>
        <w:tc>
          <w:tcPr>
            <w:tcW w:w="5168" w:type="dxa"/>
            <w:tcBorders>
              <w:top w:val="single" w:sz="4" w:space="0" w:color="auto"/>
              <w:bottom w:val="nil"/>
            </w:tcBorders>
          </w:tcPr>
          <w:p w14:paraId="2DB0C4F8" w14:textId="77777777" w:rsidR="00C07A1B" w:rsidRPr="00295D4D" w:rsidRDefault="00C07A1B" w:rsidP="00D81D3D">
            <w:pPr>
              <w:tabs>
                <w:tab w:val="left" w:pos="817"/>
              </w:tabs>
              <w:spacing w:line="320" w:lineRule="exact"/>
              <w:jc w:val="center"/>
              <w:rPr>
                <w:rFonts w:ascii="Verdana" w:hAnsi="Verdana" w:cs="Arial"/>
                <w:b/>
                <w:sz w:val="18"/>
                <w:szCs w:val="18"/>
                <w:lang w:val="en-US"/>
              </w:rPr>
            </w:pPr>
          </w:p>
        </w:tc>
      </w:tr>
      <w:tr w:rsidR="00D81D3D" w:rsidRPr="0014194B" w14:paraId="6E453E62" w14:textId="77777777" w:rsidTr="00BE12AD">
        <w:trPr>
          <w:trHeight w:val="20"/>
          <w:jc w:val="center"/>
        </w:trPr>
        <w:tc>
          <w:tcPr>
            <w:tcW w:w="5382" w:type="dxa"/>
            <w:tcBorders>
              <w:top w:val="single" w:sz="4" w:space="0" w:color="auto"/>
              <w:bottom w:val="nil"/>
            </w:tcBorders>
          </w:tcPr>
          <w:p w14:paraId="661A0879" w14:textId="77777777" w:rsidR="00D81D3D" w:rsidRPr="00295D4D" w:rsidRDefault="00D81D3D" w:rsidP="00D81D3D">
            <w:pPr>
              <w:tabs>
                <w:tab w:val="left" w:pos="817"/>
              </w:tabs>
              <w:spacing w:line="320" w:lineRule="exact"/>
              <w:jc w:val="center"/>
              <w:rPr>
                <w:rFonts w:ascii="Verdana" w:hAnsi="Verdana" w:cs="Arial"/>
                <w:sz w:val="18"/>
                <w:szCs w:val="18"/>
              </w:rPr>
            </w:pPr>
            <w:r w:rsidRPr="00295D4D">
              <w:rPr>
                <w:rFonts w:ascii="Verdana" w:hAnsi="Verdana" w:cs="Arial"/>
                <w:b/>
                <w:sz w:val="18"/>
                <w:szCs w:val="18"/>
              </w:rPr>
              <w:t>FORMA DE PAGAMENTO</w:t>
            </w:r>
          </w:p>
        </w:tc>
        <w:tc>
          <w:tcPr>
            <w:tcW w:w="5168" w:type="dxa"/>
            <w:tcBorders>
              <w:top w:val="single" w:sz="4" w:space="0" w:color="auto"/>
              <w:bottom w:val="nil"/>
            </w:tcBorders>
          </w:tcPr>
          <w:p w14:paraId="0FC406CA" w14:textId="77777777" w:rsidR="00D81D3D" w:rsidRPr="00295D4D" w:rsidRDefault="00D81D3D" w:rsidP="00D81D3D">
            <w:pPr>
              <w:tabs>
                <w:tab w:val="left" w:pos="817"/>
              </w:tabs>
              <w:spacing w:line="320" w:lineRule="exact"/>
              <w:jc w:val="center"/>
              <w:rPr>
                <w:rFonts w:ascii="Verdana" w:hAnsi="Verdana" w:cs="Arial"/>
                <w:sz w:val="18"/>
                <w:szCs w:val="18"/>
                <w:lang w:val="en-US"/>
              </w:rPr>
            </w:pPr>
            <w:r w:rsidRPr="00295D4D">
              <w:rPr>
                <w:rFonts w:ascii="Verdana" w:hAnsi="Verdana" w:cs="Arial"/>
                <w:b/>
                <w:sz w:val="18"/>
                <w:szCs w:val="18"/>
                <w:lang w:val="en-US"/>
              </w:rPr>
              <w:t>PAYMENT METHOD</w:t>
            </w:r>
          </w:p>
        </w:tc>
      </w:tr>
      <w:tr w:rsidR="00C07A1B" w:rsidRPr="0014194B" w14:paraId="07011FC6" w14:textId="77777777" w:rsidTr="00BE12AD">
        <w:trPr>
          <w:trHeight w:val="20"/>
          <w:jc w:val="center"/>
        </w:trPr>
        <w:tc>
          <w:tcPr>
            <w:tcW w:w="5382" w:type="dxa"/>
            <w:tcBorders>
              <w:top w:val="single" w:sz="4" w:space="0" w:color="auto"/>
              <w:bottom w:val="nil"/>
            </w:tcBorders>
          </w:tcPr>
          <w:p w14:paraId="73DB3A5D" w14:textId="77777777" w:rsidR="00C07A1B" w:rsidRPr="00295D4D" w:rsidRDefault="00C07A1B" w:rsidP="00D81D3D">
            <w:pPr>
              <w:tabs>
                <w:tab w:val="left" w:pos="817"/>
              </w:tabs>
              <w:spacing w:line="320" w:lineRule="exact"/>
              <w:jc w:val="center"/>
              <w:rPr>
                <w:rFonts w:ascii="Verdana" w:hAnsi="Verdana" w:cs="Arial"/>
                <w:b/>
                <w:sz w:val="18"/>
                <w:szCs w:val="18"/>
              </w:rPr>
            </w:pPr>
          </w:p>
        </w:tc>
        <w:tc>
          <w:tcPr>
            <w:tcW w:w="5168" w:type="dxa"/>
            <w:tcBorders>
              <w:top w:val="single" w:sz="4" w:space="0" w:color="auto"/>
              <w:bottom w:val="nil"/>
            </w:tcBorders>
          </w:tcPr>
          <w:p w14:paraId="3C5AEB49" w14:textId="77777777" w:rsidR="00C07A1B" w:rsidRPr="00295D4D" w:rsidRDefault="00C07A1B" w:rsidP="00D81D3D">
            <w:pPr>
              <w:tabs>
                <w:tab w:val="left" w:pos="817"/>
              </w:tabs>
              <w:spacing w:line="320" w:lineRule="exact"/>
              <w:jc w:val="center"/>
              <w:rPr>
                <w:rFonts w:ascii="Verdana" w:hAnsi="Verdana" w:cs="Arial"/>
                <w:b/>
                <w:sz w:val="18"/>
                <w:szCs w:val="18"/>
                <w:lang w:val="en-US"/>
              </w:rPr>
            </w:pPr>
          </w:p>
        </w:tc>
      </w:tr>
      <w:tr w:rsidR="00D81D3D" w:rsidRPr="0014194B" w14:paraId="1B32946F" w14:textId="77777777" w:rsidTr="00BE12AD">
        <w:trPr>
          <w:trHeight w:val="20"/>
          <w:jc w:val="center"/>
        </w:trPr>
        <w:tc>
          <w:tcPr>
            <w:tcW w:w="5382" w:type="dxa"/>
            <w:tcBorders>
              <w:top w:val="single" w:sz="4" w:space="0" w:color="auto"/>
              <w:bottom w:val="nil"/>
            </w:tcBorders>
          </w:tcPr>
          <w:p w14:paraId="0436960C" w14:textId="510085B1"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bCs/>
                <w:sz w:val="18"/>
                <w:szCs w:val="18"/>
              </w:rPr>
              <w:t>27.</w:t>
            </w:r>
            <w:r w:rsidRPr="00295D4D">
              <w:rPr>
                <w:rFonts w:ascii="Verdana" w:hAnsi="Verdana" w:cs="Arial"/>
                <w:sz w:val="18"/>
                <w:szCs w:val="18"/>
              </w:rPr>
              <w:t xml:space="preserve"> </w:t>
            </w:r>
            <w:sdt>
              <w:sdtPr>
                <w:rPr>
                  <w:rFonts w:ascii="Verdana" w:hAnsi="Verdana" w:cs="Arial"/>
                  <w:sz w:val="18"/>
                  <w:szCs w:val="18"/>
                </w:rPr>
                <w:id w:val="942345469"/>
                <w:placeholder>
                  <w:docPart w:val="DefaultPlaceholder_-1854013440"/>
                </w:placeholder>
              </w:sdtPr>
              <w:sdtEndPr>
                <w:rPr>
                  <w:highlight w:val="lightGray"/>
                </w:rPr>
              </w:sdtEndPr>
              <w:sdtContent>
                <w:r w:rsidRPr="00295D4D">
                  <w:rPr>
                    <w:rFonts w:ascii="Verdana" w:hAnsi="Verdana" w:cs="Arial"/>
                    <w:sz w:val="18"/>
                    <w:szCs w:val="18"/>
                    <w:highlight w:val="lightGray"/>
                  </w:rPr>
                  <w:t>[  ]</w:t>
                </w:r>
              </w:sdtContent>
            </w:sdt>
            <w:r w:rsidRPr="00295D4D">
              <w:rPr>
                <w:rFonts w:ascii="Verdana" w:hAnsi="Verdana" w:cs="Arial"/>
                <w:sz w:val="18"/>
                <w:szCs w:val="18"/>
              </w:rPr>
              <w:t xml:space="preserve"> Débito em conta corrente</w:t>
            </w:r>
          </w:p>
        </w:tc>
        <w:tc>
          <w:tcPr>
            <w:tcW w:w="5168" w:type="dxa"/>
            <w:tcBorders>
              <w:top w:val="single" w:sz="4" w:space="0" w:color="auto"/>
              <w:bottom w:val="nil"/>
            </w:tcBorders>
          </w:tcPr>
          <w:p w14:paraId="3D26F931" w14:textId="2F497420"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bCs/>
                <w:sz w:val="18"/>
                <w:szCs w:val="18"/>
                <w:lang w:val="en-US"/>
              </w:rPr>
              <w:t>27.</w:t>
            </w:r>
            <w:r w:rsidRPr="00295D4D">
              <w:rPr>
                <w:rFonts w:ascii="Verdana" w:hAnsi="Verdana" w:cs="Arial"/>
                <w:sz w:val="18"/>
                <w:szCs w:val="18"/>
                <w:lang w:val="en-US"/>
              </w:rPr>
              <w:t xml:space="preserve"> </w:t>
            </w:r>
            <w:sdt>
              <w:sdtPr>
                <w:rPr>
                  <w:rFonts w:ascii="Verdana" w:hAnsi="Verdana" w:cs="Arial"/>
                  <w:sz w:val="18"/>
                  <w:szCs w:val="18"/>
                  <w:lang w:val="en-US"/>
                </w:rPr>
                <w:id w:val="1609689103"/>
                <w:placeholder>
                  <w:docPart w:val="DefaultPlaceholder_-1854013440"/>
                </w:placeholder>
              </w:sdtPr>
              <w:sdtEndPr>
                <w:rPr>
                  <w:highlight w:val="lightGray"/>
                  <w:lang w:val="pt-BR"/>
                </w:rPr>
              </w:sdtEndPr>
              <w:sdtContent>
                <w:proofErr w:type="gramStart"/>
                <w:r w:rsidRPr="00295D4D">
                  <w:rPr>
                    <w:rFonts w:ascii="Verdana" w:hAnsi="Verdana" w:cs="Arial"/>
                    <w:sz w:val="18"/>
                    <w:szCs w:val="18"/>
                    <w:highlight w:val="lightGray"/>
                  </w:rPr>
                  <w:t>[  ]</w:t>
                </w:r>
                <w:proofErr w:type="gramEnd"/>
              </w:sdtContent>
            </w:sdt>
            <w:r w:rsidRPr="00295D4D">
              <w:rPr>
                <w:rFonts w:ascii="Verdana" w:hAnsi="Verdana" w:cs="Arial"/>
                <w:sz w:val="18"/>
                <w:szCs w:val="18"/>
                <w:lang w:val="en-US"/>
              </w:rPr>
              <w:t xml:space="preserve"> Direct debit</w:t>
            </w:r>
          </w:p>
        </w:tc>
      </w:tr>
      <w:tr w:rsidR="00D81D3D" w:rsidRPr="0014194B" w14:paraId="5E8B332C" w14:textId="77777777" w:rsidTr="00BE12AD">
        <w:trPr>
          <w:trHeight w:val="20"/>
          <w:jc w:val="center"/>
        </w:trPr>
        <w:tc>
          <w:tcPr>
            <w:tcW w:w="5382" w:type="dxa"/>
            <w:tcBorders>
              <w:top w:val="single" w:sz="4" w:space="0" w:color="auto"/>
              <w:bottom w:val="nil"/>
            </w:tcBorders>
          </w:tcPr>
          <w:p w14:paraId="7193A7BC" w14:textId="7777777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rPr>
              <w:t>N.º Banco</w:t>
            </w:r>
          </w:p>
        </w:tc>
        <w:tc>
          <w:tcPr>
            <w:tcW w:w="5168" w:type="dxa"/>
            <w:tcBorders>
              <w:top w:val="single" w:sz="4" w:space="0" w:color="auto"/>
              <w:bottom w:val="nil"/>
            </w:tcBorders>
          </w:tcPr>
          <w:p w14:paraId="4896DC38" w14:textId="7777777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Bank No.</w:t>
            </w:r>
          </w:p>
        </w:tc>
      </w:tr>
      <w:tr w:rsidR="00D81D3D" w:rsidRPr="0014194B" w14:paraId="6C5C5ED9" w14:textId="77777777" w:rsidTr="00BE12AD">
        <w:trPr>
          <w:trHeight w:val="20"/>
          <w:jc w:val="center"/>
        </w:trPr>
        <w:tc>
          <w:tcPr>
            <w:tcW w:w="5382" w:type="dxa"/>
            <w:tcBorders>
              <w:top w:val="nil"/>
              <w:bottom w:val="single" w:sz="4" w:space="0" w:color="auto"/>
            </w:tcBorders>
          </w:tcPr>
          <w:sdt>
            <w:sdtPr>
              <w:rPr>
                <w:rFonts w:ascii="Verdana" w:hAnsi="Verdana" w:cs="Arial"/>
                <w:sz w:val="18"/>
                <w:szCs w:val="18"/>
                <w:highlight w:val="lightGray"/>
              </w:rPr>
              <w:id w:val="1311132992"/>
              <w:placeholder>
                <w:docPart w:val="DefaultPlaceholder_-1854013440"/>
              </w:placeholder>
            </w:sdtPr>
            <w:sdtContent>
              <w:p w14:paraId="1D370F3B" w14:textId="2066E95C"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Borders>
              <w:top w:val="nil"/>
              <w:bottom w:val="single" w:sz="4" w:space="0" w:color="auto"/>
            </w:tcBorders>
          </w:tcPr>
          <w:sdt>
            <w:sdtPr>
              <w:rPr>
                <w:rFonts w:ascii="Verdana" w:hAnsi="Verdana" w:cs="Arial"/>
                <w:sz w:val="18"/>
                <w:szCs w:val="18"/>
                <w:highlight w:val="lightGray"/>
              </w:rPr>
              <w:id w:val="1567992333"/>
              <w:placeholder>
                <w:docPart w:val="DefaultPlaceholder_-1854013440"/>
              </w:placeholder>
            </w:sdtPr>
            <w:sdtContent>
              <w:p w14:paraId="645001A7" w14:textId="5DAF7226"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D81D3D" w:rsidRPr="0014194B" w14:paraId="09D8493F" w14:textId="77777777" w:rsidTr="00BE12AD">
        <w:trPr>
          <w:trHeight w:val="20"/>
          <w:jc w:val="center"/>
        </w:trPr>
        <w:tc>
          <w:tcPr>
            <w:tcW w:w="5382" w:type="dxa"/>
            <w:tcBorders>
              <w:top w:val="single" w:sz="4" w:space="0" w:color="auto"/>
              <w:bottom w:val="nil"/>
            </w:tcBorders>
          </w:tcPr>
          <w:p w14:paraId="2EAF9C5A" w14:textId="7777777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rPr>
              <w:lastRenderedPageBreak/>
              <w:t>N.º Agência</w:t>
            </w:r>
          </w:p>
        </w:tc>
        <w:tc>
          <w:tcPr>
            <w:tcW w:w="5168" w:type="dxa"/>
            <w:tcBorders>
              <w:top w:val="single" w:sz="4" w:space="0" w:color="auto"/>
              <w:bottom w:val="nil"/>
            </w:tcBorders>
          </w:tcPr>
          <w:p w14:paraId="220DE35E" w14:textId="7777777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Branch No.</w:t>
            </w:r>
          </w:p>
        </w:tc>
      </w:tr>
      <w:tr w:rsidR="00D81D3D" w:rsidRPr="0014194B" w14:paraId="390B860B" w14:textId="77777777" w:rsidTr="00BE12AD">
        <w:trPr>
          <w:trHeight w:val="20"/>
          <w:jc w:val="center"/>
        </w:trPr>
        <w:tc>
          <w:tcPr>
            <w:tcW w:w="5382" w:type="dxa"/>
            <w:tcBorders>
              <w:top w:val="nil"/>
              <w:bottom w:val="single" w:sz="4" w:space="0" w:color="auto"/>
            </w:tcBorders>
          </w:tcPr>
          <w:sdt>
            <w:sdtPr>
              <w:rPr>
                <w:rFonts w:ascii="Verdana" w:hAnsi="Verdana" w:cs="Arial"/>
                <w:sz w:val="18"/>
                <w:szCs w:val="18"/>
                <w:highlight w:val="lightGray"/>
              </w:rPr>
              <w:id w:val="547042102"/>
              <w:placeholder>
                <w:docPart w:val="DefaultPlaceholder_-1854013440"/>
              </w:placeholder>
            </w:sdtPr>
            <w:sdtContent>
              <w:p w14:paraId="497E9CED" w14:textId="0C00A88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Borders>
              <w:top w:val="nil"/>
              <w:bottom w:val="single" w:sz="4" w:space="0" w:color="auto"/>
            </w:tcBorders>
          </w:tcPr>
          <w:sdt>
            <w:sdtPr>
              <w:rPr>
                <w:rFonts w:ascii="Verdana" w:hAnsi="Verdana" w:cs="Arial"/>
                <w:sz w:val="18"/>
                <w:szCs w:val="18"/>
                <w:highlight w:val="lightGray"/>
              </w:rPr>
              <w:id w:val="173996639"/>
              <w:placeholder>
                <w:docPart w:val="DefaultPlaceholder_-1854013440"/>
              </w:placeholder>
            </w:sdtPr>
            <w:sdtContent>
              <w:p w14:paraId="1956FBEE" w14:textId="125FEDB6"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D81D3D" w:rsidRPr="0014194B" w14:paraId="33E5A9A2" w14:textId="77777777" w:rsidTr="00BE12AD">
        <w:trPr>
          <w:trHeight w:val="20"/>
          <w:jc w:val="center"/>
        </w:trPr>
        <w:tc>
          <w:tcPr>
            <w:tcW w:w="5382" w:type="dxa"/>
            <w:tcBorders>
              <w:top w:val="single" w:sz="4" w:space="0" w:color="auto"/>
              <w:bottom w:val="nil"/>
            </w:tcBorders>
          </w:tcPr>
          <w:p w14:paraId="0A2230C3" w14:textId="7777777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rPr>
              <w:t>N.º Conta corrente</w:t>
            </w:r>
          </w:p>
        </w:tc>
        <w:tc>
          <w:tcPr>
            <w:tcW w:w="5168" w:type="dxa"/>
            <w:tcBorders>
              <w:top w:val="single" w:sz="4" w:space="0" w:color="auto"/>
              <w:bottom w:val="nil"/>
            </w:tcBorders>
          </w:tcPr>
          <w:p w14:paraId="5CB5575E" w14:textId="7777777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Checking Account No.</w:t>
            </w:r>
          </w:p>
        </w:tc>
      </w:tr>
      <w:tr w:rsidR="00D81D3D" w:rsidRPr="0014194B" w14:paraId="5DB1BD79" w14:textId="77777777" w:rsidTr="00BE12AD">
        <w:trPr>
          <w:trHeight w:val="20"/>
          <w:jc w:val="center"/>
        </w:trPr>
        <w:tc>
          <w:tcPr>
            <w:tcW w:w="5382" w:type="dxa"/>
            <w:tcBorders>
              <w:top w:val="nil"/>
              <w:bottom w:val="single" w:sz="4" w:space="0" w:color="auto"/>
            </w:tcBorders>
          </w:tcPr>
          <w:sdt>
            <w:sdtPr>
              <w:rPr>
                <w:rFonts w:ascii="Verdana" w:hAnsi="Verdana" w:cs="Arial"/>
                <w:sz w:val="18"/>
                <w:szCs w:val="18"/>
                <w:highlight w:val="lightGray"/>
              </w:rPr>
              <w:id w:val="1970008996"/>
              <w:placeholder>
                <w:docPart w:val="DefaultPlaceholder_-1854013440"/>
              </w:placeholder>
            </w:sdtPr>
            <w:sdtContent>
              <w:p w14:paraId="0CA988B1" w14:textId="6CF2D3D9"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Borders>
              <w:top w:val="nil"/>
              <w:bottom w:val="single" w:sz="4" w:space="0" w:color="auto"/>
            </w:tcBorders>
          </w:tcPr>
          <w:sdt>
            <w:sdtPr>
              <w:rPr>
                <w:rFonts w:ascii="Verdana" w:hAnsi="Verdana" w:cs="Arial"/>
                <w:sz w:val="18"/>
                <w:szCs w:val="18"/>
                <w:highlight w:val="lightGray"/>
              </w:rPr>
              <w:id w:val="-1289815035"/>
              <w:placeholder>
                <w:docPart w:val="DefaultPlaceholder_-1854013440"/>
              </w:placeholder>
            </w:sdtPr>
            <w:sdtContent>
              <w:p w14:paraId="5EEDA3CC" w14:textId="160BB0F1"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D81D3D" w:rsidRPr="00016DC5" w14:paraId="33C32A20" w14:textId="77777777" w:rsidTr="00BE12AD">
        <w:trPr>
          <w:trHeight w:val="20"/>
          <w:jc w:val="center"/>
        </w:trPr>
        <w:tc>
          <w:tcPr>
            <w:tcW w:w="5382" w:type="dxa"/>
            <w:tcBorders>
              <w:top w:val="single" w:sz="4" w:space="0" w:color="auto"/>
              <w:bottom w:val="nil"/>
            </w:tcBorders>
          </w:tcPr>
          <w:p w14:paraId="06BEA82C" w14:textId="5C88A07F"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bCs/>
                <w:sz w:val="18"/>
                <w:szCs w:val="18"/>
              </w:rPr>
              <w:t>28.</w:t>
            </w:r>
            <w:r w:rsidRPr="00295D4D">
              <w:rPr>
                <w:rFonts w:ascii="Verdana" w:hAnsi="Verdana" w:cs="Arial"/>
                <w:sz w:val="18"/>
                <w:szCs w:val="18"/>
              </w:rPr>
              <w:t xml:space="preserve"> </w:t>
            </w:r>
            <w:sdt>
              <w:sdtPr>
                <w:rPr>
                  <w:rFonts w:ascii="Verdana" w:hAnsi="Verdana" w:cs="Arial"/>
                  <w:sz w:val="18"/>
                  <w:szCs w:val="18"/>
                </w:rPr>
                <w:id w:val="17052061"/>
                <w:placeholder>
                  <w:docPart w:val="DefaultPlaceholder_-1854013440"/>
                </w:placeholder>
              </w:sdtPr>
              <w:sdtEndPr>
                <w:rPr>
                  <w:highlight w:val="lightGray"/>
                </w:rPr>
              </w:sdtEndPr>
              <w:sdtContent>
                <w:r w:rsidRPr="00295D4D">
                  <w:rPr>
                    <w:rFonts w:ascii="Verdana" w:hAnsi="Verdana" w:cs="Arial"/>
                    <w:sz w:val="18"/>
                    <w:szCs w:val="18"/>
                    <w:highlight w:val="lightGray"/>
                  </w:rPr>
                  <w:t>[  ]</w:t>
                </w:r>
              </w:sdtContent>
            </w:sdt>
            <w:r w:rsidRPr="00295D4D">
              <w:rPr>
                <w:rFonts w:ascii="Verdana" w:hAnsi="Verdana" w:cs="Arial"/>
                <w:sz w:val="18"/>
                <w:szCs w:val="18"/>
              </w:rPr>
              <w:t xml:space="preserve"> DOC/TED em conta corrente</w:t>
            </w:r>
          </w:p>
        </w:tc>
        <w:tc>
          <w:tcPr>
            <w:tcW w:w="5168" w:type="dxa"/>
            <w:tcBorders>
              <w:top w:val="single" w:sz="4" w:space="0" w:color="auto"/>
              <w:bottom w:val="nil"/>
            </w:tcBorders>
          </w:tcPr>
          <w:p w14:paraId="5B4651F6" w14:textId="53A2F956"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bCs/>
                <w:sz w:val="18"/>
                <w:szCs w:val="18"/>
                <w:lang w:val="en-US"/>
              </w:rPr>
              <w:t>28.</w:t>
            </w:r>
            <w:r w:rsidRPr="00295D4D">
              <w:rPr>
                <w:rFonts w:ascii="Verdana" w:hAnsi="Verdana" w:cs="Arial"/>
                <w:sz w:val="18"/>
                <w:szCs w:val="18"/>
                <w:lang w:val="en-US"/>
              </w:rPr>
              <w:t xml:space="preserve"> </w:t>
            </w:r>
            <w:sdt>
              <w:sdtPr>
                <w:rPr>
                  <w:rFonts w:ascii="Verdana" w:hAnsi="Verdana" w:cs="Arial"/>
                  <w:sz w:val="18"/>
                  <w:szCs w:val="18"/>
                  <w:lang w:val="en-US"/>
                </w:rPr>
                <w:id w:val="1552355230"/>
                <w:placeholder>
                  <w:docPart w:val="DefaultPlaceholder_-1854013440"/>
                </w:placeholder>
              </w:sdtPr>
              <w:sdtEndPr>
                <w:rPr>
                  <w:highlight w:val="lightGray"/>
                </w:rPr>
              </w:sdtEndPr>
              <w:sdtContent>
                <w:proofErr w:type="gramStart"/>
                <w:r w:rsidRPr="00295D4D">
                  <w:rPr>
                    <w:rFonts w:ascii="Verdana" w:hAnsi="Verdana" w:cs="Arial"/>
                    <w:sz w:val="18"/>
                    <w:szCs w:val="18"/>
                    <w:highlight w:val="lightGray"/>
                    <w:lang w:val="en-US"/>
                  </w:rPr>
                  <w:t>[  ]</w:t>
                </w:r>
                <w:proofErr w:type="gramEnd"/>
              </w:sdtContent>
            </w:sdt>
            <w:r w:rsidRPr="00295D4D">
              <w:rPr>
                <w:rFonts w:ascii="Verdana" w:hAnsi="Verdana" w:cs="Arial"/>
                <w:sz w:val="18"/>
                <w:szCs w:val="18"/>
                <w:lang w:val="en-US"/>
              </w:rPr>
              <w:t xml:space="preserve"> DOC or TED in Checking Account</w:t>
            </w:r>
          </w:p>
        </w:tc>
      </w:tr>
      <w:tr w:rsidR="00D81D3D" w:rsidRPr="0014194B" w14:paraId="4E3CED9F" w14:textId="77777777" w:rsidTr="00BE12AD">
        <w:trPr>
          <w:trHeight w:val="20"/>
          <w:jc w:val="center"/>
        </w:trPr>
        <w:tc>
          <w:tcPr>
            <w:tcW w:w="5382" w:type="dxa"/>
            <w:tcBorders>
              <w:top w:val="single" w:sz="4" w:space="0" w:color="auto"/>
              <w:bottom w:val="nil"/>
            </w:tcBorders>
          </w:tcPr>
          <w:p w14:paraId="0AF8A71F" w14:textId="7777777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rPr>
              <w:t>N.º Banco</w:t>
            </w:r>
          </w:p>
        </w:tc>
        <w:tc>
          <w:tcPr>
            <w:tcW w:w="5168" w:type="dxa"/>
            <w:tcBorders>
              <w:top w:val="single" w:sz="4" w:space="0" w:color="auto"/>
              <w:bottom w:val="nil"/>
            </w:tcBorders>
          </w:tcPr>
          <w:p w14:paraId="00300BAF" w14:textId="7777777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Bank No.</w:t>
            </w:r>
          </w:p>
        </w:tc>
      </w:tr>
      <w:tr w:rsidR="00D81D3D" w:rsidRPr="0014194B" w14:paraId="67E97B48" w14:textId="77777777" w:rsidTr="00BE12AD">
        <w:trPr>
          <w:trHeight w:val="20"/>
          <w:jc w:val="center"/>
        </w:trPr>
        <w:tc>
          <w:tcPr>
            <w:tcW w:w="5382" w:type="dxa"/>
            <w:tcBorders>
              <w:top w:val="nil"/>
              <w:bottom w:val="single" w:sz="4" w:space="0" w:color="auto"/>
            </w:tcBorders>
          </w:tcPr>
          <w:sdt>
            <w:sdtPr>
              <w:rPr>
                <w:rFonts w:ascii="Verdana" w:hAnsi="Verdana" w:cs="Arial"/>
                <w:sz w:val="18"/>
                <w:szCs w:val="18"/>
                <w:highlight w:val="lightGray"/>
              </w:rPr>
              <w:id w:val="-2005576185"/>
              <w:placeholder>
                <w:docPart w:val="DefaultPlaceholder_-1854013440"/>
              </w:placeholder>
            </w:sdtPr>
            <w:sdtContent>
              <w:p w14:paraId="1274DDAF" w14:textId="1E7D33DB"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Borders>
              <w:top w:val="nil"/>
              <w:bottom w:val="single" w:sz="4" w:space="0" w:color="auto"/>
            </w:tcBorders>
          </w:tcPr>
          <w:sdt>
            <w:sdtPr>
              <w:rPr>
                <w:rFonts w:ascii="Verdana" w:hAnsi="Verdana" w:cs="Arial"/>
                <w:sz w:val="18"/>
                <w:szCs w:val="18"/>
                <w:highlight w:val="lightGray"/>
              </w:rPr>
              <w:id w:val="2102995480"/>
              <w:placeholder>
                <w:docPart w:val="DefaultPlaceholder_-1854013440"/>
              </w:placeholder>
            </w:sdtPr>
            <w:sdtContent>
              <w:p w14:paraId="28693A2C" w14:textId="4596A10C"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D81D3D" w:rsidRPr="0014194B" w14:paraId="5FA6EF9B" w14:textId="77777777" w:rsidTr="00BE12AD">
        <w:trPr>
          <w:trHeight w:val="20"/>
          <w:jc w:val="center"/>
        </w:trPr>
        <w:tc>
          <w:tcPr>
            <w:tcW w:w="5382" w:type="dxa"/>
            <w:tcBorders>
              <w:top w:val="single" w:sz="4" w:space="0" w:color="auto"/>
              <w:bottom w:val="nil"/>
            </w:tcBorders>
          </w:tcPr>
          <w:p w14:paraId="032B5612" w14:textId="7777777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rPr>
              <w:t>N.º Agência</w:t>
            </w:r>
          </w:p>
        </w:tc>
        <w:tc>
          <w:tcPr>
            <w:tcW w:w="5168" w:type="dxa"/>
            <w:tcBorders>
              <w:top w:val="single" w:sz="4" w:space="0" w:color="auto"/>
              <w:bottom w:val="nil"/>
            </w:tcBorders>
          </w:tcPr>
          <w:p w14:paraId="3091AD02" w14:textId="7777777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Branch No.</w:t>
            </w:r>
          </w:p>
        </w:tc>
      </w:tr>
      <w:tr w:rsidR="00D81D3D" w:rsidRPr="0014194B" w14:paraId="1C8EC2AE" w14:textId="77777777" w:rsidTr="00BE12AD">
        <w:trPr>
          <w:trHeight w:val="20"/>
          <w:jc w:val="center"/>
        </w:trPr>
        <w:tc>
          <w:tcPr>
            <w:tcW w:w="5382" w:type="dxa"/>
            <w:tcBorders>
              <w:top w:val="nil"/>
              <w:bottom w:val="single" w:sz="4" w:space="0" w:color="auto"/>
            </w:tcBorders>
          </w:tcPr>
          <w:sdt>
            <w:sdtPr>
              <w:rPr>
                <w:rFonts w:ascii="Verdana" w:hAnsi="Verdana" w:cs="Arial"/>
                <w:sz w:val="18"/>
                <w:szCs w:val="18"/>
                <w:highlight w:val="lightGray"/>
              </w:rPr>
              <w:id w:val="524765117"/>
              <w:placeholder>
                <w:docPart w:val="DefaultPlaceholder_-1854013440"/>
              </w:placeholder>
            </w:sdtPr>
            <w:sdtContent>
              <w:p w14:paraId="224301E6" w14:textId="60E01575"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Borders>
              <w:top w:val="nil"/>
              <w:bottom w:val="single" w:sz="4" w:space="0" w:color="auto"/>
            </w:tcBorders>
          </w:tcPr>
          <w:sdt>
            <w:sdtPr>
              <w:rPr>
                <w:rFonts w:ascii="Verdana" w:hAnsi="Verdana" w:cs="Arial"/>
                <w:sz w:val="18"/>
                <w:szCs w:val="18"/>
                <w:highlight w:val="lightGray"/>
              </w:rPr>
              <w:id w:val="2045476035"/>
              <w:placeholder>
                <w:docPart w:val="DefaultPlaceholder_-1854013440"/>
              </w:placeholder>
            </w:sdtPr>
            <w:sdtContent>
              <w:p w14:paraId="7FACA04E" w14:textId="27BA9BC0"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D81D3D" w:rsidRPr="0014194B" w14:paraId="4C07FC91" w14:textId="77777777" w:rsidTr="00BE12AD">
        <w:trPr>
          <w:trHeight w:val="20"/>
          <w:jc w:val="center"/>
        </w:trPr>
        <w:tc>
          <w:tcPr>
            <w:tcW w:w="5382" w:type="dxa"/>
            <w:tcBorders>
              <w:top w:val="single" w:sz="4" w:space="0" w:color="auto"/>
              <w:bottom w:val="nil"/>
            </w:tcBorders>
          </w:tcPr>
          <w:p w14:paraId="2BCF47E2" w14:textId="7777777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rPr>
              <w:t>N.º Conta corrente</w:t>
            </w:r>
          </w:p>
        </w:tc>
        <w:tc>
          <w:tcPr>
            <w:tcW w:w="5168" w:type="dxa"/>
            <w:tcBorders>
              <w:top w:val="single" w:sz="4" w:space="0" w:color="auto"/>
              <w:bottom w:val="nil"/>
            </w:tcBorders>
          </w:tcPr>
          <w:p w14:paraId="4A056532" w14:textId="7777777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Checking Account No.</w:t>
            </w:r>
          </w:p>
        </w:tc>
      </w:tr>
      <w:tr w:rsidR="00D81D3D" w:rsidRPr="0014194B" w14:paraId="6DB52EF5" w14:textId="77777777" w:rsidTr="00BE12AD">
        <w:trPr>
          <w:trHeight w:val="20"/>
          <w:jc w:val="center"/>
        </w:trPr>
        <w:tc>
          <w:tcPr>
            <w:tcW w:w="5382" w:type="dxa"/>
            <w:tcBorders>
              <w:top w:val="nil"/>
              <w:bottom w:val="single" w:sz="4" w:space="0" w:color="auto"/>
            </w:tcBorders>
          </w:tcPr>
          <w:sdt>
            <w:sdtPr>
              <w:rPr>
                <w:rFonts w:ascii="Verdana" w:hAnsi="Verdana" w:cs="Arial"/>
                <w:sz w:val="18"/>
                <w:szCs w:val="18"/>
                <w:highlight w:val="lightGray"/>
              </w:rPr>
              <w:id w:val="1907642393"/>
              <w:placeholder>
                <w:docPart w:val="DefaultPlaceholder_-1854013440"/>
              </w:placeholder>
            </w:sdtPr>
            <w:sdtContent>
              <w:p w14:paraId="69711280" w14:textId="75EA4EB4"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Borders>
              <w:top w:val="nil"/>
              <w:bottom w:val="single" w:sz="4" w:space="0" w:color="auto"/>
            </w:tcBorders>
          </w:tcPr>
          <w:sdt>
            <w:sdtPr>
              <w:rPr>
                <w:rFonts w:ascii="Verdana" w:hAnsi="Verdana" w:cs="Arial"/>
                <w:sz w:val="18"/>
                <w:szCs w:val="18"/>
                <w:highlight w:val="lightGray"/>
              </w:rPr>
              <w:id w:val="48118266"/>
              <w:placeholder>
                <w:docPart w:val="DefaultPlaceholder_-1854013440"/>
              </w:placeholder>
            </w:sdtPr>
            <w:sdtContent>
              <w:p w14:paraId="31DFB1CF" w14:textId="281D270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D81D3D" w:rsidRPr="0014194B" w14:paraId="49FFFF93" w14:textId="77777777" w:rsidTr="00BE12AD">
        <w:trPr>
          <w:trHeight w:val="20"/>
          <w:jc w:val="center"/>
        </w:trPr>
        <w:tc>
          <w:tcPr>
            <w:tcW w:w="5382" w:type="dxa"/>
            <w:tcBorders>
              <w:top w:val="single" w:sz="4" w:space="0" w:color="auto"/>
              <w:bottom w:val="nil"/>
            </w:tcBorders>
          </w:tcPr>
          <w:p w14:paraId="5AD76842" w14:textId="11FF7E39"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bCs/>
                <w:sz w:val="18"/>
                <w:szCs w:val="18"/>
              </w:rPr>
              <w:t>29.</w:t>
            </w:r>
            <w:r w:rsidRPr="00295D4D">
              <w:rPr>
                <w:rFonts w:ascii="Verdana" w:hAnsi="Verdana" w:cs="Arial"/>
                <w:sz w:val="18"/>
                <w:szCs w:val="18"/>
              </w:rPr>
              <w:t xml:space="preserve"> </w:t>
            </w:r>
            <w:sdt>
              <w:sdtPr>
                <w:rPr>
                  <w:rFonts w:ascii="Verdana" w:hAnsi="Verdana" w:cs="Arial"/>
                  <w:sz w:val="18"/>
                  <w:szCs w:val="18"/>
                </w:rPr>
                <w:id w:val="590592093"/>
                <w:placeholder>
                  <w:docPart w:val="DefaultPlaceholder_-1854013440"/>
                </w:placeholder>
              </w:sdtPr>
              <w:sdtEndPr>
                <w:rPr>
                  <w:highlight w:val="lightGray"/>
                </w:rPr>
              </w:sdtEndPr>
              <w:sdtContent>
                <w:r w:rsidRPr="00295D4D">
                  <w:rPr>
                    <w:rFonts w:ascii="Verdana" w:hAnsi="Verdana" w:cs="Arial"/>
                    <w:sz w:val="18"/>
                    <w:szCs w:val="18"/>
                    <w:highlight w:val="lightGray"/>
                  </w:rPr>
                  <w:t>[  ]</w:t>
                </w:r>
              </w:sdtContent>
            </w:sdt>
            <w:r w:rsidRPr="00295D4D">
              <w:rPr>
                <w:rFonts w:ascii="Verdana" w:hAnsi="Verdana" w:cs="Arial"/>
                <w:sz w:val="18"/>
                <w:szCs w:val="18"/>
              </w:rPr>
              <w:t xml:space="preserve"> Cheque</w:t>
            </w:r>
          </w:p>
        </w:tc>
        <w:tc>
          <w:tcPr>
            <w:tcW w:w="5168" w:type="dxa"/>
            <w:tcBorders>
              <w:top w:val="single" w:sz="4" w:space="0" w:color="auto"/>
              <w:bottom w:val="nil"/>
            </w:tcBorders>
          </w:tcPr>
          <w:p w14:paraId="14C7A48A" w14:textId="2790D09D" w:rsidR="00D81D3D" w:rsidRPr="00295D4D" w:rsidRDefault="00D81D3D" w:rsidP="00D81D3D">
            <w:pPr>
              <w:tabs>
                <w:tab w:val="left" w:pos="817"/>
              </w:tabs>
              <w:spacing w:line="320" w:lineRule="exact"/>
              <w:rPr>
                <w:rFonts w:ascii="Verdana" w:hAnsi="Verdana" w:cs="Arial"/>
                <w:bCs/>
                <w:sz w:val="18"/>
                <w:szCs w:val="18"/>
                <w:lang w:val="en-US"/>
              </w:rPr>
            </w:pPr>
            <w:r w:rsidRPr="00295D4D">
              <w:rPr>
                <w:rFonts w:ascii="Verdana" w:hAnsi="Verdana" w:cs="Arial"/>
                <w:bCs/>
                <w:sz w:val="18"/>
                <w:szCs w:val="18"/>
                <w:lang w:val="en-US"/>
              </w:rPr>
              <w:t xml:space="preserve">29. </w:t>
            </w:r>
            <w:sdt>
              <w:sdtPr>
                <w:rPr>
                  <w:rFonts w:ascii="Verdana" w:hAnsi="Verdana" w:cs="Arial"/>
                  <w:bCs/>
                  <w:sz w:val="18"/>
                  <w:szCs w:val="18"/>
                  <w:lang w:val="en-US"/>
                </w:rPr>
                <w:id w:val="-214038844"/>
                <w:placeholder>
                  <w:docPart w:val="DefaultPlaceholder_-1854013440"/>
                </w:placeholder>
              </w:sdtPr>
              <w:sdtEndPr>
                <w:rPr>
                  <w:highlight w:val="lightGray"/>
                  <w:lang w:val="pt-BR"/>
                </w:rPr>
              </w:sdtEndPr>
              <w:sdtContent>
                <w:proofErr w:type="gramStart"/>
                <w:r w:rsidRPr="00295D4D">
                  <w:rPr>
                    <w:rFonts w:ascii="Verdana" w:hAnsi="Verdana" w:cs="Arial"/>
                    <w:bCs/>
                    <w:sz w:val="18"/>
                    <w:szCs w:val="18"/>
                    <w:highlight w:val="lightGray"/>
                  </w:rPr>
                  <w:t>[  ]</w:t>
                </w:r>
                <w:proofErr w:type="gramEnd"/>
              </w:sdtContent>
            </w:sdt>
            <w:r w:rsidRPr="00295D4D">
              <w:rPr>
                <w:rFonts w:ascii="Verdana" w:hAnsi="Verdana" w:cs="Arial"/>
                <w:bCs/>
                <w:sz w:val="18"/>
                <w:szCs w:val="18"/>
                <w:lang w:val="en-US"/>
              </w:rPr>
              <w:t xml:space="preserve"> Check</w:t>
            </w:r>
          </w:p>
        </w:tc>
      </w:tr>
      <w:tr w:rsidR="00D81D3D" w:rsidRPr="0014194B" w14:paraId="2E13A352" w14:textId="77777777" w:rsidTr="00BE12AD">
        <w:trPr>
          <w:trHeight w:val="20"/>
          <w:jc w:val="center"/>
        </w:trPr>
        <w:tc>
          <w:tcPr>
            <w:tcW w:w="5382" w:type="dxa"/>
            <w:tcBorders>
              <w:top w:val="single" w:sz="4" w:space="0" w:color="auto"/>
              <w:bottom w:val="nil"/>
            </w:tcBorders>
          </w:tcPr>
          <w:p w14:paraId="19333AF4" w14:textId="7777777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rPr>
              <w:t>N.º Cheque:</w:t>
            </w:r>
          </w:p>
        </w:tc>
        <w:tc>
          <w:tcPr>
            <w:tcW w:w="5168" w:type="dxa"/>
            <w:tcBorders>
              <w:top w:val="single" w:sz="4" w:space="0" w:color="auto"/>
              <w:bottom w:val="nil"/>
            </w:tcBorders>
          </w:tcPr>
          <w:p w14:paraId="5D695CA2" w14:textId="7777777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Check No.:</w:t>
            </w:r>
          </w:p>
        </w:tc>
      </w:tr>
      <w:tr w:rsidR="00D81D3D" w:rsidRPr="0014194B" w14:paraId="2862E04B" w14:textId="77777777" w:rsidTr="00BE12AD">
        <w:trPr>
          <w:trHeight w:val="20"/>
          <w:jc w:val="center"/>
        </w:trPr>
        <w:tc>
          <w:tcPr>
            <w:tcW w:w="5382" w:type="dxa"/>
            <w:tcBorders>
              <w:top w:val="nil"/>
              <w:bottom w:val="single" w:sz="4" w:space="0" w:color="auto"/>
            </w:tcBorders>
          </w:tcPr>
          <w:sdt>
            <w:sdtPr>
              <w:rPr>
                <w:rFonts w:ascii="Verdana" w:hAnsi="Verdana" w:cs="Arial"/>
                <w:sz w:val="18"/>
                <w:szCs w:val="18"/>
                <w:highlight w:val="lightGray"/>
              </w:rPr>
              <w:id w:val="-1580590138"/>
              <w:placeholder>
                <w:docPart w:val="DefaultPlaceholder_-1854013440"/>
              </w:placeholder>
            </w:sdtPr>
            <w:sdtContent>
              <w:p w14:paraId="426D4CEB" w14:textId="01FC8E23"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Borders>
              <w:top w:val="nil"/>
              <w:bottom w:val="single" w:sz="4" w:space="0" w:color="auto"/>
            </w:tcBorders>
          </w:tcPr>
          <w:sdt>
            <w:sdtPr>
              <w:rPr>
                <w:rFonts w:ascii="Verdana" w:hAnsi="Verdana" w:cs="Arial"/>
                <w:sz w:val="18"/>
                <w:szCs w:val="18"/>
                <w:highlight w:val="lightGray"/>
              </w:rPr>
              <w:id w:val="940338393"/>
              <w:placeholder>
                <w:docPart w:val="DefaultPlaceholder_-1854013440"/>
              </w:placeholder>
            </w:sdtPr>
            <w:sdtContent>
              <w:p w14:paraId="762C9BD3" w14:textId="218F92FA"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D81D3D" w:rsidRPr="0014194B" w14:paraId="4108181C" w14:textId="77777777" w:rsidTr="00BE12AD">
        <w:trPr>
          <w:trHeight w:val="20"/>
          <w:jc w:val="center"/>
        </w:trPr>
        <w:tc>
          <w:tcPr>
            <w:tcW w:w="5382" w:type="dxa"/>
            <w:tcBorders>
              <w:top w:val="single" w:sz="4" w:space="0" w:color="auto"/>
              <w:bottom w:val="nil"/>
            </w:tcBorders>
          </w:tcPr>
          <w:p w14:paraId="744373C9" w14:textId="7777777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rPr>
              <w:t>N.º Banco:</w:t>
            </w:r>
          </w:p>
        </w:tc>
        <w:tc>
          <w:tcPr>
            <w:tcW w:w="5168" w:type="dxa"/>
            <w:tcBorders>
              <w:top w:val="single" w:sz="4" w:space="0" w:color="auto"/>
              <w:bottom w:val="nil"/>
            </w:tcBorders>
          </w:tcPr>
          <w:p w14:paraId="5ABDDE5A" w14:textId="7777777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Bank No.:</w:t>
            </w:r>
          </w:p>
        </w:tc>
      </w:tr>
      <w:tr w:rsidR="00D81D3D" w:rsidRPr="0014194B" w14:paraId="273E7CF9" w14:textId="77777777" w:rsidTr="00BE12AD">
        <w:trPr>
          <w:trHeight w:val="20"/>
          <w:jc w:val="center"/>
        </w:trPr>
        <w:tc>
          <w:tcPr>
            <w:tcW w:w="5382" w:type="dxa"/>
            <w:tcBorders>
              <w:top w:val="nil"/>
              <w:bottom w:val="single" w:sz="4" w:space="0" w:color="auto"/>
            </w:tcBorders>
          </w:tcPr>
          <w:sdt>
            <w:sdtPr>
              <w:rPr>
                <w:rFonts w:ascii="Verdana" w:hAnsi="Verdana" w:cs="Arial"/>
                <w:sz w:val="18"/>
                <w:szCs w:val="18"/>
                <w:highlight w:val="lightGray"/>
              </w:rPr>
              <w:id w:val="-471213314"/>
              <w:placeholder>
                <w:docPart w:val="DefaultPlaceholder_-1854013440"/>
              </w:placeholder>
            </w:sdtPr>
            <w:sdtContent>
              <w:p w14:paraId="6E91B5D9" w14:textId="74DD899E"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Borders>
              <w:top w:val="nil"/>
              <w:bottom w:val="single" w:sz="4" w:space="0" w:color="auto"/>
            </w:tcBorders>
          </w:tcPr>
          <w:sdt>
            <w:sdtPr>
              <w:rPr>
                <w:rFonts w:ascii="Verdana" w:hAnsi="Verdana" w:cs="Arial"/>
                <w:sz w:val="18"/>
                <w:szCs w:val="18"/>
                <w:highlight w:val="lightGray"/>
              </w:rPr>
              <w:id w:val="1029679578"/>
              <w:placeholder>
                <w:docPart w:val="DefaultPlaceholder_-1854013440"/>
              </w:placeholder>
            </w:sdtPr>
            <w:sdtContent>
              <w:p w14:paraId="66FA3134" w14:textId="5D018748"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D81D3D" w:rsidRPr="0014194B" w14:paraId="41B5C718" w14:textId="77777777" w:rsidTr="00BE12AD">
        <w:trPr>
          <w:trHeight w:val="20"/>
          <w:jc w:val="center"/>
        </w:trPr>
        <w:tc>
          <w:tcPr>
            <w:tcW w:w="5382" w:type="dxa"/>
            <w:tcBorders>
              <w:top w:val="single" w:sz="4" w:space="0" w:color="auto"/>
              <w:bottom w:val="single" w:sz="4" w:space="0" w:color="auto"/>
            </w:tcBorders>
          </w:tcPr>
          <w:p w14:paraId="234D1135" w14:textId="7777777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rPr>
              <w:t>N.º Agência:</w:t>
            </w:r>
          </w:p>
          <w:sdt>
            <w:sdtPr>
              <w:rPr>
                <w:rFonts w:ascii="Verdana" w:hAnsi="Verdana" w:cs="Arial"/>
                <w:sz w:val="18"/>
                <w:szCs w:val="18"/>
                <w:highlight w:val="lightGray"/>
              </w:rPr>
              <w:id w:val="-1511986365"/>
              <w:placeholder>
                <w:docPart w:val="DefaultPlaceholder_-1854013440"/>
              </w:placeholder>
            </w:sdtPr>
            <w:sdtContent>
              <w:p w14:paraId="5E99F34C" w14:textId="77960FFF"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Borders>
              <w:top w:val="single" w:sz="4" w:space="0" w:color="auto"/>
              <w:bottom w:val="single" w:sz="4" w:space="0" w:color="auto"/>
            </w:tcBorders>
          </w:tcPr>
          <w:p w14:paraId="53178AAB" w14:textId="7777777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Branch No.</w:t>
            </w:r>
          </w:p>
          <w:sdt>
            <w:sdtPr>
              <w:rPr>
                <w:rFonts w:ascii="Verdana" w:hAnsi="Verdana" w:cs="Arial"/>
                <w:sz w:val="18"/>
                <w:szCs w:val="18"/>
                <w:highlight w:val="lightGray"/>
              </w:rPr>
              <w:id w:val="-1107504217"/>
              <w:placeholder>
                <w:docPart w:val="DefaultPlaceholder_-1854013440"/>
              </w:placeholder>
            </w:sdtPr>
            <w:sdtContent>
              <w:p w14:paraId="492F96B7" w14:textId="55D4C7B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D81D3D" w:rsidRPr="0014194B" w14:paraId="41B7B8DB" w14:textId="77777777" w:rsidTr="00BE12AD">
        <w:trPr>
          <w:trHeight w:val="20"/>
          <w:jc w:val="center"/>
        </w:trPr>
        <w:tc>
          <w:tcPr>
            <w:tcW w:w="5382" w:type="dxa"/>
            <w:tcBorders>
              <w:top w:val="single" w:sz="4" w:space="0" w:color="auto"/>
              <w:bottom w:val="single" w:sz="4" w:space="0" w:color="auto"/>
            </w:tcBorders>
          </w:tcPr>
          <w:p w14:paraId="75A3AAAC" w14:textId="77777777" w:rsidR="00D81D3D" w:rsidRPr="00295D4D" w:rsidRDefault="00D81D3D" w:rsidP="00D81D3D">
            <w:pPr>
              <w:tabs>
                <w:tab w:val="left" w:pos="817"/>
              </w:tabs>
              <w:spacing w:line="320" w:lineRule="exact"/>
              <w:rPr>
                <w:rFonts w:ascii="Verdana" w:hAnsi="Verdana" w:cs="Arial"/>
                <w:sz w:val="18"/>
                <w:szCs w:val="18"/>
              </w:rPr>
            </w:pPr>
          </w:p>
        </w:tc>
        <w:tc>
          <w:tcPr>
            <w:tcW w:w="5168" w:type="dxa"/>
            <w:tcBorders>
              <w:top w:val="single" w:sz="4" w:space="0" w:color="auto"/>
              <w:bottom w:val="single" w:sz="4" w:space="0" w:color="auto"/>
            </w:tcBorders>
          </w:tcPr>
          <w:p w14:paraId="22D78937" w14:textId="77777777" w:rsidR="00D81D3D" w:rsidRPr="00295D4D" w:rsidRDefault="00D81D3D" w:rsidP="00D81D3D">
            <w:pPr>
              <w:tabs>
                <w:tab w:val="left" w:pos="817"/>
              </w:tabs>
              <w:spacing w:line="320" w:lineRule="exact"/>
              <w:rPr>
                <w:rFonts w:ascii="Verdana" w:hAnsi="Verdana" w:cs="Arial"/>
                <w:sz w:val="18"/>
                <w:szCs w:val="18"/>
                <w:lang w:val="en-US"/>
              </w:rPr>
            </w:pPr>
          </w:p>
        </w:tc>
      </w:tr>
      <w:tr w:rsidR="00D81D3D" w:rsidRPr="0014194B" w14:paraId="06F44307" w14:textId="77777777" w:rsidTr="00BE12AD">
        <w:trPr>
          <w:trHeight w:val="20"/>
          <w:jc w:val="center"/>
        </w:trPr>
        <w:tc>
          <w:tcPr>
            <w:tcW w:w="5382" w:type="dxa"/>
            <w:tcBorders>
              <w:top w:val="single" w:sz="4" w:space="0" w:color="auto"/>
              <w:bottom w:val="single" w:sz="4" w:space="0" w:color="auto"/>
            </w:tcBorders>
          </w:tcPr>
          <w:p w14:paraId="43DF6C3D" w14:textId="11043EA2" w:rsidR="00D81D3D" w:rsidRPr="00295D4D" w:rsidRDefault="00D81D3D" w:rsidP="00C07A1B">
            <w:pPr>
              <w:tabs>
                <w:tab w:val="left" w:pos="817"/>
              </w:tabs>
              <w:spacing w:line="320" w:lineRule="exact"/>
              <w:jc w:val="center"/>
              <w:rPr>
                <w:rFonts w:ascii="Verdana" w:hAnsi="Verdana" w:cs="Arial"/>
                <w:sz w:val="18"/>
                <w:szCs w:val="18"/>
              </w:rPr>
            </w:pPr>
            <w:r w:rsidRPr="00295D4D">
              <w:rPr>
                <w:rFonts w:ascii="Verdana" w:hAnsi="Verdana" w:cs="Arial"/>
                <w:b/>
                <w:sz w:val="18"/>
                <w:szCs w:val="18"/>
              </w:rPr>
              <w:t>FORMA DE DEVOLUÇÃO</w:t>
            </w:r>
          </w:p>
        </w:tc>
        <w:tc>
          <w:tcPr>
            <w:tcW w:w="5168" w:type="dxa"/>
            <w:tcBorders>
              <w:top w:val="single" w:sz="4" w:space="0" w:color="auto"/>
              <w:bottom w:val="single" w:sz="4" w:space="0" w:color="auto"/>
            </w:tcBorders>
          </w:tcPr>
          <w:p w14:paraId="6D483A5F" w14:textId="77777777" w:rsidR="00D81D3D" w:rsidRPr="00295D4D" w:rsidRDefault="00D81D3D" w:rsidP="00D81D3D">
            <w:pPr>
              <w:tabs>
                <w:tab w:val="left" w:pos="817"/>
              </w:tabs>
              <w:spacing w:line="320" w:lineRule="exact"/>
              <w:jc w:val="center"/>
              <w:rPr>
                <w:rFonts w:ascii="Verdana" w:hAnsi="Verdana" w:cs="Arial"/>
                <w:sz w:val="18"/>
                <w:szCs w:val="18"/>
                <w:lang w:val="en-US"/>
              </w:rPr>
            </w:pPr>
            <w:r w:rsidRPr="00295D4D">
              <w:rPr>
                <w:rFonts w:ascii="Verdana" w:hAnsi="Verdana" w:cs="Arial"/>
                <w:b/>
                <w:bCs/>
                <w:sz w:val="18"/>
                <w:szCs w:val="18"/>
                <w:lang w:val="en-US"/>
              </w:rPr>
              <w:t>METHOD OF RETURN</w:t>
            </w:r>
          </w:p>
        </w:tc>
      </w:tr>
      <w:tr w:rsidR="00D81D3D" w:rsidRPr="0014194B" w14:paraId="370C476F" w14:textId="77777777" w:rsidTr="00BE12AD">
        <w:trPr>
          <w:trHeight w:val="20"/>
          <w:jc w:val="center"/>
        </w:trPr>
        <w:tc>
          <w:tcPr>
            <w:tcW w:w="5382" w:type="dxa"/>
            <w:tcBorders>
              <w:top w:val="single" w:sz="4" w:space="0" w:color="auto"/>
              <w:bottom w:val="single" w:sz="4" w:space="0" w:color="auto"/>
            </w:tcBorders>
          </w:tcPr>
          <w:p w14:paraId="63BC2866" w14:textId="77777777" w:rsidR="00D81D3D" w:rsidRPr="00295D4D" w:rsidRDefault="00D81D3D" w:rsidP="00D81D3D">
            <w:pPr>
              <w:tabs>
                <w:tab w:val="left" w:pos="817"/>
              </w:tabs>
              <w:spacing w:line="320" w:lineRule="exact"/>
              <w:rPr>
                <w:rFonts w:ascii="Verdana" w:hAnsi="Verdana" w:cs="Arial"/>
                <w:sz w:val="18"/>
                <w:szCs w:val="18"/>
              </w:rPr>
            </w:pPr>
          </w:p>
        </w:tc>
        <w:tc>
          <w:tcPr>
            <w:tcW w:w="5168" w:type="dxa"/>
            <w:tcBorders>
              <w:top w:val="single" w:sz="4" w:space="0" w:color="auto"/>
              <w:bottom w:val="single" w:sz="4" w:space="0" w:color="auto"/>
            </w:tcBorders>
          </w:tcPr>
          <w:p w14:paraId="4466CE7C" w14:textId="77777777" w:rsidR="00D81D3D" w:rsidRPr="00295D4D" w:rsidRDefault="00D81D3D" w:rsidP="00D81D3D">
            <w:pPr>
              <w:tabs>
                <w:tab w:val="left" w:pos="817"/>
              </w:tabs>
              <w:spacing w:line="320" w:lineRule="exact"/>
              <w:rPr>
                <w:rFonts w:ascii="Verdana" w:hAnsi="Verdana" w:cs="Arial"/>
                <w:sz w:val="18"/>
                <w:szCs w:val="18"/>
                <w:lang w:val="en-US"/>
              </w:rPr>
            </w:pPr>
          </w:p>
        </w:tc>
      </w:tr>
      <w:tr w:rsidR="00D81D3D" w:rsidRPr="0014194B" w14:paraId="5773BBDE" w14:textId="77777777" w:rsidTr="00BE12AD">
        <w:trPr>
          <w:trHeight w:val="20"/>
          <w:jc w:val="center"/>
        </w:trPr>
        <w:tc>
          <w:tcPr>
            <w:tcW w:w="5382" w:type="dxa"/>
            <w:tcBorders>
              <w:top w:val="single" w:sz="4" w:space="0" w:color="auto"/>
              <w:bottom w:val="single" w:sz="4" w:space="0" w:color="auto"/>
            </w:tcBorders>
          </w:tcPr>
          <w:p w14:paraId="17094A64" w14:textId="52B44379" w:rsidR="00D81D3D" w:rsidRPr="00295D4D" w:rsidRDefault="00D81D3D" w:rsidP="005520B3">
            <w:pPr>
              <w:spacing w:line="320" w:lineRule="exact"/>
              <w:rPr>
                <w:rFonts w:ascii="Verdana" w:hAnsi="Verdana" w:cs="Arial"/>
                <w:sz w:val="18"/>
                <w:szCs w:val="18"/>
              </w:rPr>
            </w:pPr>
            <w:r w:rsidRPr="00295D4D">
              <w:rPr>
                <w:rFonts w:ascii="Verdana" w:hAnsi="Verdana" w:cs="Arial"/>
                <w:sz w:val="18"/>
                <w:szCs w:val="18"/>
              </w:rPr>
              <w:t xml:space="preserve">30. </w:t>
            </w:r>
            <w:sdt>
              <w:sdtPr>
                <w:rPr>
                  <w:rFonts w:ascii="Verdana" w:hAnsi="Verdana" w:cs="Arial"/>
                  <w:sz w:val="18"/>
                  <w:szCs w:val="18"/>
                </w:rPr>
                <w:id w:val="-786881252"/>
                <w:placeholder>
                  <w:docPart w:val="DefaultPlaceholder_-1854013440"/>
                </w:placeholder>
              </w:sdtPr>
              <w:sdtEndPr>
                <w:rPr>
                  <w:highlight w:val="lightGray"/>
                </w:rPr>
              </w:sdtEndPr>
              <w:sdtContent>
                <w:r w:rsidRPr="00295D4D">
                  <w:rPr>
                    <w:rFonts w:ascii="Verdana" w:hAnsi="Verdana" w:cs="Arial"/>
                    <w:sz w:val="18"/>
                    <w:szCs w:val="18"/>
                    <w:highlight w:val="lightGray"/>
                  </w:rPr>
                  <w:t>[  ]</w:t>
                </w:r>
              </w:sdtContent>
            </w:sdt>
            <w:r w:rsidRPr="00295D4D">
              <w:rPr>
                <w:rFonts w:ascii="Verdana" w:hAnsi="Verdana" w:cs="Arial"/>
                <w:sz w:val="18"/>
                <w:szCs w:val="18"/>
              </w:rPr>
              <w:t xml:space="preserve"> Débito em conta corrente</w:t>
            </w:r>
          </w:p>
        </w:tc>
        <w:tc>
          <w:tcPr>
            <w:tcW w:w="5168" w:type="dxa"/>
            <w:tcBorders>
              <w:top w:val="single" w:sz="4" w:space="0" w:color="auto"/>
              <w:bottom w:val="single" w:sz="4" w:space="0" w:color="auto"/>
            </w:tcBorders>
          </w:tcPr>
          <w:p w14:paraId="384F5B70" w14:textId="198FD2DD" w:rsidR="00D81D3D" w:rsidRPr="00295D4D" w:rsidRDefault="00D81D3D" w:rsidP="005520B3">
            <w:pPr>
              <w:spacing w:line="320" w:lineRule="exact"/>
              <w:rPr>
                <w:rFonts w:ascii="Verdana" w:hAnsi="Verdana" w:cs="Arial"/>
                <w:sz w:val="18"/>
                <w:szCs w:val="18"/>
                <w:lang w:val="en-US"/>
              </w:rPr>
            </w:pPr>
            <w:r w:rsidRPr="00295D4D">
              <w:rPr>
                <w:rFonts w:ascii="Verdana" w:hAnsi="Verdana" w:cs="Arial"/>
                <w:sz w:val="18"/>
                <w:szCs w:val="18"/>
                <w:lang w:val="en-US"/>
              </w:rPr>
              <w:t xml:space="preserve">30. </w:t>
            </w:r>
            <w:sdt>
              <w:sdtPr>
                <w:rPr>
                  <w:rFonts w:ascii="Verdana" w:hAnsi="Verdana" w:cs="Arial"/>
                  <w:sz w:val="18"/>
                  <w:szCs w:val="18"/>
                  <w:lang w:val="en-US"/>
                </w:rPr>
                <w:id w:val="2066836971"/>
                <w:placeholder>
                  <w:docPart w:val="DefaultPlaceholder_-1854013440"/>
                </w:placeholder>
              </w:sdtPr>
              <w:sdtEndPr>
                <w:rPr>
                  <w:highlight w:val="lightGray"/>
                  <w:lang w:val="pt-BR"/>
                </w:rPr>
              </w:sdtEndPr>
              <w:sdtContent>
                <w:proofErr w:type="gramStart"/>
                <w:r w:rsidRPr="00295D4D">
                  <w:rPr>
                    <w:rFonts w:ascii="Verdana" w:hAnsi="Verdana" w:cs="Arial"/>
                    <w:sz w:val="18"/>
                    <w:szCs w:val="18"/>
                    <w:highlight w:val="lightGray"/>
                  </w:rPr>
                  <w:t>[  ]</w:t>
                </w:r>
                <w:proofErr w:type="gramEnd"/>
              </w:sdtContent>
            </w:sdt>
            <w:r w:rsidRPr="00295D4D">
              <w:rPr>
                <w:rFonts w:ascii="Verdana" w:hAnsi="Verdana" w:cs="Arial"/>
                <w:sz w:val="18"/>
                <w:szCs w:val="18"/>
              </w:rPr>
              <w:t xml:space="preserve"> </w:t>
            </w:r>
            <w:r w:rsidRPr="00295D4D">
              <w:rPr>
                <w:rFonts w:ascii="Verdana" w:hAnsi="Verdana" w:cs="Arial"/>
                <w:sz w:val="18"/>
                <w:szCs w:val="18"/>
                <w:lang w:val="en-US"/>
              </w:rPr>
              <w:t>Debit in checking account</w:t>
            </w:r>
          </w:p>
        </w:tc>
      </w:tr>
      <w:tr w:rsidR="00D81D3D" w:rsidRPr="0014194B" w14:paraId="19C23E47" w14:textId="77777777" w:rsidTr="00BE12AD">
        <w:trPr>
          <w:trHeight w:val="20"/>
          <w:jc w:val="center"/>
        </w:trPr>
        <w:tc>
          <w:tcPr>
            <w:tcW w:w="5382" w:type="dxa"/>
            <w:tcBorders>
              <w:top w:val="single" w:sz="4" w:space="0" w:color="auto"/>
              <w:bottom w:val="single" w:sz="4" w:space="0" w:color="auto"/>
            </w:tcBorders>
          </w:tcPr>
          <w:p w14:paraId="0DFB07DF" w14:textId="77777777" w:rsidR="00D81D3D" w:rsidRPr="00295D4D" w:rsidRDefault="00D81D3D" w:rsidP="00D81D3D">
            <w:pPr>
              <w:spacing w:line="320" w:lineRule="exact"/>
              <w:rPr>
                <w:rFonts w:ascii="Verdana" w:hAnsi="Verdana" w:cs="Arial"/>
                <w:sz w:val="18"/>
                <w:szCs w:val="18"/>
              </w:rPr>
            </w:pPr>
            <w:r w:rsidRPr="00295D4D">
              <w:rPr>
                <w:rFonts w:ascii="Verdana" w:hAnsi="Verdana" w:cs="Arial"/>
                <w:sz w:val="18"/>
                <w:szCs w:val="18"/>
              </w:rPr>
              <w:t>N.º Banco</w:t>
            </w:r>
          </w:p>
          <w:sdt>
            <w:sdtPr>
              <w:rPr>
                <w:rFonts w:ascii="Verdana" w:hAnsi="Verdana" w:cs="Arial"/>
                <w:sz w:val="18"/>
                <w:szCs w:val="18"/>
                <w:highlight w:val="lightGray"/>
              </w:rPr>
              <w:id w:val="350387391"/>
              <w:placeholder>
                <w:docPart w:val="DefaultPlaceholder_-1854013440"/>
              </w:placeholder>
            </w:sdtPr>
            <w:sdtContent>
              <w:p w14:paraId="5B896738" w14:textId="3E8B8B72"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Borders>
              <w:top w:val="single" w:sz="4" w:space="0" w:color="auto"/>
              <w:bottom w:val="single" w:sz="4" w:space="0" w:color="auto"/>
            </w:tcBorders>
          </w:tcPr>
          <w:p w14:paraId="4149A7FC" w14:textId="77777777" w:rsidR="00D81D3D" w:rsidRPr="00295D4D" w:rsidRDefault="00D81D3D" w:rsidP="00D81D3D">
            <w:pPr>
              <w:spacing w:line="320" w:lineRule="exact"/>
              <w:rPr>
                <w:rFonts w:ascii="Verdana" w:hAnsi="Verdana" w:cs="Arial"/>
                <w:sz w:val="18"/>
                <w:szCs w:val="18"/>
                <w:lang w:val="en-US"/>
              </w:rPr>
            </w:pPr>
            <w:r w:rsidRPr="00295D4D">
              <w:rPr>
                <w:rFonts w:ascii="Verdana" w:hAnsi="Verdana" w:cs="Arial"/>
                <w:sz w:val="18"/>
                <w:szCs w:val="18"/>
                <w:lang w:val="en-US"/>
              </w:rPr>
              <w:t>Bank No.</w:t>
            </w:r>
          </w:p>
          <w:sdt>
            <w:sdtPr>
              <w:rPr>
                <w:rFonts w:ascii="Verdana" w:hAnsi="Verdana" w:cs="Arial"/>
                <w:sz w:val="18"/>
                <w:szCs w:val="18"/>
                <w:highlight w:val="lightGray"/>
              </w:rPr>
              <w:id w:val="-1351794907"/>
              <w:placeholder>
                <w:docPart w:val="DefaultPlaceholder_-1854013440"/>
              </w:placeholder>
            </w:sdtPr>
            <w:sdtContent>
              <w:p w14:paraId="3B3C7787" w14:textId="0494B380"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D81D3D" w:rsidRPr="0014194B" w14:paraId="2923BC04" w14:textId="77777777" w:rsidTr="00BE12AD">
        <w:trPr>
          <w:trHeight w:val="20"/>
          <w:jc w:val="center"/>
        </w:trPr>
        <w:tc>
          <w:tcPr>
            <w:tcW w:w="5382" w:type="dxa"/>
            <w:tcBorders>
              <w:top w:val="single" w:sz="4" w:space="0" w:color="auto"/>
              <w:bottom w:val="single" w:sz="4" w:space="0" w:color="auto"/>
            </w:tcBorders>
          </w:tcPr>
          <w:p w14:paraId="4BDBE12A" w14:textId="77777777" w:rsidR="00D81D3D" w:rsidRPr="00295D4D" w:rsidRDefault="00D81D3D" w:rsidP="00D81D3D">
            <w:pPr>
              <w:spacing w:line="320" w:lineRule="exact"/>
              <w:rPr>
                <w:rFonts w:ascii="Verdana" w:hAnsi="Verdana" w:cs="Arial"/>
                <w:sz w:val="18"/>
                <w:szCs w:val="18"/>
              </w:rPr>
            </w:pPr>
            <w:r w:rsidRPr="00295D4D">
              <w:rPr>
                <w:rFonts w:ascii="Verdana" w:hAnsi="Verdana" w:cs="Arial"/>
                <w:sz w:val="18"/>
                <w:szCs w:val="18"/>
              </w:rPr>
              <w:t>N.º Agência</w:t>
            </w:r>
          </w:p>
          <w:sdt>
            <w:sdtPr>
              <w:rPr>
                <w:rFonts w:ascii="Verdana" w:hAnsi="Verdana" w:cs="Arial"/>
                <w:sz w:val="18"/>
                <w:szCs w:val="18"/>
                <w:highlight w:val="lightGray"/>
              </w:rPr>
              <w:id w:val="-1445148246"/>
              <w:placeholder>
                <w:docPart w:val="DefaultPlaceholder_-1854013440"/>
              </w:placeholder>
            </w:sdtPr>
            <w:sdtContent>
              <w:p w14:paraId="0D99BB5E" w14:textId="169B0A81"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Borders>
              <w:top w:val="single" w:sz="4" w:space="0" w:color="auto"/>
              <w:bottom w:val="single" w:sz="4" w:space="0" w:color="auto"/>
            </w:tcBorders>
          </w:tcPr>
          <w:p w14:paraId="5DB5C07D" w14:textId="77777777" w:rsidR="00D81D3D" w:rsidRPr="00295D4D" w:rsidRDefault="00D81D3D" w:rsidP="00D81D3D">
            <w:pPr>
              <w:spacing w:line="320" w:lineRule="exact"/>
              <w:rPr>
                <w:rFonts w:ascii="Verdana" w:hAnsi="Verdana" w:cs="Arial"/>
                <w:sz w:val="18"/>
                <w:szCs w:val="18"/>
                <w:lang w:val="en-US"/>
              </w:rPr>
            </w:pPr>
            <w:r w:rsidRPr="00295D4D">
              <w:rPr>
                <w:rFonts w:ascii="Verdana" w:hAnsi="Verdana" w:cs="Arial"/>
                <w:sz w:val="18"/>
                <w:szCs w:val="18"/>
                <w:lang w:val="en-US"/>
              </w:rPr>
              <w:t>Branch No.</w:t>
            </w:r>
          </w:p>
          <w:sdt>
            <w:sdtPr>
              <w:rPr>
                <w:rFonts w:ascii="Verdana" w:hAnsi="Verdana" w:cs="Arial"/>
                <w:sz w:val="18"/>
                <w:szCs w:val="18"/>
                <w:highlight w:val="lightGray"/>
              </w:rPr>
              <w:id w:val="143938705"/>
              <w:placeholder>
                <w:docPart w:val="DefaultPlaceholder_-1854013440"/>
              </w:placeholder>
            </w:sdtPr>
            <w:sdtContent>
              <w:p w14:paraId="2D121105" w14:textId="41EEE168"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D81D3D" w:rsidRPr="0014194B" w14:paraId="5D7B661B" w14:textId="77777777" w:rsidTr="00BE12AD">
        <w:trPr>
          <w:trHeight w:val="20"/>
          <w:jc w:val="center"/>
        </w:trPr>
        <w:tc>
          <w:tcPr>
            <w:tcW w:w="5382" w:type="dxa"/>
            <w:tcBorders>
              <w:top w:val="single" w:sz="4" w:space="0" w:color="auto"/>
              <w:bottom w:val="single" w:sz="4" w:space="0" w:color="auto"/>
            </w:tcBorders>
          </w:tcPr>
          <w:p w14:paraId="5AF0BF11" w14:textId="77777777" w:rsidR="00D81D3D" w:rsidRPr="00295D4D" w:rsidRDefault="00D81D3D" w:rsidP="00D81D3D">
            <w:pPr>
              <w:spacing w:line="320" w:lineRule="exact"/>
              <w:rPr>
                <w:rFonts w:ascii="Verdana" w:hAnsi="Verdana" w:cs="Arial"/>
                <w:sz w:val="18"/>
                <w:szCs w:val="18"/>
              </w:rPr>
            </w:pPr>
            <w:r w:rsidRPr="00295D4D">
              <w:rPr>
                <w:rFonts w:ascii="Verdana" w:hAnsi="Verdana" w:cs="Arial"/>
                <w:sz w:val="18"/>
                <w:szCs w:val="18"/>
              </w:rPr>
              <w:t>N.º Conta corrente</w:t>
            </w:r>
          </w:p>
          <w:sdt>
            <w:sdtPr>
              <w:rPr>
                <w:rFonts w:ascii="Verdana" w:hAnsi="Verdana" w:cs="Arial"/>
                <w:sz w:val="18"/>
                <w:szCs w:val="18"/>
                <w:highlight w:val="lightGray"/>
              </w:rPr>
              <w:id w:val="1782687920"/>
              <w:placeholder>
                <w:docPart w:val="DefaultPlaceholder_-1854013440"/>
              </w:placeholder>
            </w:sdtPr>
            <w:sdtContent>
              <w:p w14:paraId="5F36E016" w14:textId="3BC2A42D" w:rsidR="00D81D3D" w:rsidRPr="00295D4D" w:rsidRDefault="00D81D3D" w:rsidP="00D81D3D">
                <w:pPr>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Borders>
              <w:top w:val="single" w:sz="4" w:space="0" w:color="auto"/>
              <w:bottom w:val="single" w:sz="4" w:space="0" w:color="auto"/>
            </w:tcBorders>
          </w:tcPr>
          <w:p w14:paraId="573F9F75" w14:textId="77777777" w:rsidR="00D81D3D" w:rsidRPr="00295D4D" w:rsidRDefault="00D81D3D" w:rsidP="00D81D3D">
            <w:pPr>
              <w:spacing w:line="320" w:lineRule="exact"/>
              <w:rPr>
                <w:rFonts w:ascii="Verdana" w:hAnsi="Verdana" w:cs="Arial"/>
                <w:sz w:val="18"/>
                <w:szCs w:val="18"/>
              </w:rPr>
            </w:pPr>
            <w:r w:rsidRPr="00295D4D">
              <w:rPr>
                <w:rFonts w:ascii="Verdana" w:hAnsi="Verdana" w:cs="Arial"/>
                <w:sz w:val="18"/>
                <w:szCs w:val="18"/>
                <w:lang w:val="en-US"/>
              </w:rPr>
              <w:t>Checking account No.</w:t>
            </w:r>
          </w:p>
          <w:sdt>
            <w:sdtPr>
              <w:rPr>
                <w:rFonts w:ascii="Verdana" w:hAnsi="Verdana" w:cs="Arial"/>
                <w:sz w:val="18"/>
                <w:szCs w:val="18"/>
                <w:highlight w:val="lightGray"/>
              </w:rPr>
              <w:id w:val="-1022468722"/>
              <w:placeholder>
                <w:docPart w:val="DefaultPlaceholder_-1854013440"/>
              </w:placeholder>
            </w:sdtPr>
            <w:sdtContent>
              <w:p w14:paraId="117F58B9" w14:textId="6B88288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C07A1B" w:rsidRPr="0014194B" w14:paraId="68690AA6" w14:textId="77777777" w:rsidTr="00BE12AD">
        <w:trPr>
          <w:trHeight w:val="20"/>
          <w:jc w:val="center"/>
        </w:trPr>
        <w:tc>
          <w:tcPr>
            <w:tcW w:w="5382" w:type="dxa"/>
            <w:tcBorders>
              <w:top w:val="single" w:sz="4" w:space="0" w:color="auto"/>
              <w:bottom w:val="single" w:sz="4" w:space="0" w:color="auto"/>
            </w:tcBorders>
          </w:tcPr>
          <w:p w14:paraId="225946DE" w14:textId="77777777" w:rsidR="00C07A1B" w:rsidRPr="00295D4D" w:rsidRDefault="00C07A1B" w:rsidP="00D81D3D">
            <w:pPr>
              <w:spacing w:line="320" w:lineRule="exact"/>
              <w:rPr>
                <w:rFonts w:ascii="Verdana" w:hAnsi="Verdana" w:cs="Arial"/>
                <w:sz w:val="18"/>
                <w:szCs w:val="18"/>
              </w:rPr>
            </w:pPr>
          </w:p>
        </w:tc>
        <w:tc>
          <w:tcPr>
            <w:tcW w:w="5168" w:type="dxa"/>
            <w:tcBorders>
              <w:top w:val="single" w:sz="4" w:space="0" w:color="auto"/>
              <w:bottom w:val="single" w:sz="4" w:space="0" w:color="auto"/>
            </w:tcBorders>
          </w:tcPr>
          <w:p w14:paraId="5600667F" w14:textId="77777777" w:rsidR="00C07A1B" w:rsidRPr="00295D4D" w:rsidRDefault="00C07A1B" w:rsidP="00D81D3D">
            <w:pPr>
              <w:spacing w:line="320" w:lineRule="exact"/>
              <w:rPr>
                <w:rFonts w:ascii="Verdana" w:hAnsi="Verdana" w:cs="Arial"/>
                <w:sz w:val="18"/>
                <w:szCs w:val="18"/>
                <w:lang w:val="en-US"/>
              </w:rPr>
            </w:pPr>
          </w:p>
        </w:tc>
      </w:tr>
      <w:tr w:rsidR="00D81D3D" w:rsidRPr="002B5212" w14:paraId="7F25DEDE" w14:textId="77777777" w:rsidTr="00BE12AD">
        <w:trPr>
          <w:trHeight w:val="20"/>
          <w:jc w:val="center"/>
        </w:trPr>
        <w:tc>
          <w:tcPr>
            <w:tcW w:w="5382" w:type="dxa"/>
            <w:tcBorders>
              <w:top w:val="single" w:sz="4" w:space="0" w:color="auto"/>
              <w:bottom w:val="nil"/>
            </w:tcBorders>
          </w:tcPr>
          <w:p w14:paraId="6208FCCA" w14:textId="77777777" w:rsidR="00D81D3D" w:rsidRPr="002B5212" w:rsidRDefault="00D81D3D" w:rsidP="00D81D3D">
            <w:pPr>
              <w:tabs>
                <w:tab w:val="left" w:pos="817"/>
              </w:tabs>
              <w:spacing w:line="320" w:lineRule="exact"/>
              <w:jc w:val="center"/>
              <w:rPr>
                <w:rFonts w:ascii="Verdana" w:hAnsi="Verdana" w:cs="Arial"/>
                <w:b/>
                <w:sz w:val="18"/>
                <w:szCs w:val="18"/>
              </w:rPr>
            </w:pPr>
          </w:p>
        </w:tc>
        <w:tc>
          <w:tcPr>
            <w:tcW w:w="5168" w:type="dxa"/>
            <w:tcBorders>
              <w:top w:val="single" w:sz="4" w:space="0" w:color="auto"/>
              <w:bottom w:val="nil"/>
            </w:tcBorders>
          </w:tcPr>
          <w:p w14:paraId="0DD6A934" w14:textId="77777777" w:rsidR="00D81D3D" w:rsidRPr="005520B3" w:rsidRDefault="00D81D3D" w:rsidP="00D81D3D">
            <w:pPr>
              <w:tabs>
                <w:tab w:val="left" w:pos="817"/>
              </w:tabs>
              <w:spacing w:line="320" w:lineRule="exact"/>
              <w:jc w:val="center"/>
              <w:rPr>
                <w:rFonts w:ascii="Verdana" w:hAnsi="Verdana" w:cs="Arial"/>
                <w:b/>
                <w:sz w:val="18"/>
                <w:szCs w:val="18"/>
              </w:rPr>
            </w:pPr>
          </w:p>
        </w:tc>
      </w:tr>
      <w:tr w:rsidR="00D81D3D" w:rsidRPr="0014194B" w14:paraId="74291015" w14:textId="77777777" w:rsidTr="00BE12AD">
        <w:trPr>
          <w:trHeight w:val="20"/>
          <w:jc w:val="center"/>
        </w:trPr>
        <w:tc>
          <w:tcPr>
            <w:tcW w:w="5382" w:type="dxa"/>
          </w:tcPr>
          <w:p w14:paraId="6AE3E694" w14:textId="77777777" w:rsidR="00D81D3D" w:rsidRPr="00295D4D" w:rsidRDefault="00D81D3D" w:rsidP="00D81D3D">
            <w:pPr>
              <w:pStyle w:val="Ttulo1"/>
              <w:tabs>
                <w:tab w:val="left" w:pos="817"/>
              </w:tabs>
              <w:spacing w:line="320" w:lineRule="exact"/>
              <w:jc w:val="center"/>
              <w:rPr>
                <w:rFonts w:ascii="Verdana" w:hAnsi="Verdana" w:cs="Arial"/>
                <w:sz w:val="18"/>
                <w:szCs w:val="18"/>
              </w:rPr>
            </w:pPr>
            <w:r w:rsidRPr="00295D4D">
              <w:rPr>
                <w:rFonts w:ascii="Verdana" w:hAnsi="Verdana" w:cs="Arial"/>
                <w:sz w:val="18"/>
                <w:szCs w:val="18"/>
              </w:rPr>
              <w:t>CLÁUSULAS CONTRATUAIS</w:t>
            </w:r>
          </w:p>
        </w:tc>
        <w:tc>
          <w:tcPr>
            <w:tcW w:w="5168" w:type="dxa"/>
          </w:tcPr>
          <w:p w14:paraId="4411A663" w14:textId="77777777" w:rsidR="00D81D3D" w:rsidRPr="00295D4D" w:rsidRDefault="00D81D3D" w:rsidP="00D81D3D">
            <w:pPr>
              <w:pStyle w:val="Ttulo1"/>
              <w:tabs>
                <w:tab w:val="left" w:pos="817"/>
              </w:tabs>
              <w:spacing w:line="320" w:lineRule="exact"/>
              <w:jc w:val="center"/>
              <w:rPr>
                <w:rFonts w:ascii="Verdana" w:hAnsi="Verdana" w:cs="Arial"/>
                <w:sz w:val="18"/>
                <w:szCs w:val="18"/>
                <w:lang w:val="en-US"/>
              </w:rPr>
            </w:pPr>
            <w:r w:rsidRPr="00295D4D">
              <w:rPr>
                <w:rFonts w:ascii="Verdana" w:hAnsi="Verdana" w:cs="Arial"/>
                <w:sz w:val="18"/>
                <w:szCs w:val="18"/>
                <w:lang w:val="en-US"/>
              </w:rPr>
              <w:t>CONTRACTUAL CLAUSES</w:t>
            </w:r>
          </w:p>
        </w:tc>
      </w:tr>
      <w:tr w:rsidR="00D81D3D" w:rsidRPr="0014194B" w14:paraId="1ECF51D8" w14:textId="77777777" w:rsidTr="00BE12AD">
        <w:trPr>
          <w:trHeight w:val="20"/>
          <w:jc w:val="center"/>
        </w:trPr>
        <w:tc>
          <w:tcPr>
            <w:tcW w:w="5382" w:type="dxa"/>
          </w:tcPr>
          <w:p w14:paraId="665AF9F3" w14:textId="77777777" w:rsidR="00D81D3D" w:rsidRPr="00295D4D" w:rsidRDefault="00D81D3D" w:rsidP="00D81D3D">
            <w:pPr>
              <w:tabs>
                <w:tab w:val="left" w:pos="817"/>
              </w:tabs>
              <w:spacing w:line="320" w:lineRule="exact"/>
              <w:rPr>
                <w:rFonts w:ascii="Verdana" w:hAnsi="Verdana" w:cs="Arial"/>
                <w:sz w:val="18"/>
                <w:szCs w:val="18"/>
              </w:rPr>
            </w:pPr>
          </w:p>
        </w:tc>
        <w:tc>
          <w:tcPr>
            <w:tcW w:w="5168" w:type="dxa"/>
          </w:tcPr>
          <w:p w14:paraId="4B33D716" w14:textId="77777777" w:rsidR="00D81D3D" w:rsidRPr="00295D4D" w:rsidRDefault="00D81D3D" w:rsidP="00D81D3D">
            <w:pPr>
              <w:tabs>
                <w:tab w:val="left" w:pos="817"/>
              </w:tabs>
              <w:spacing w:line="320" w:lineRule="exact"/>
              <w:rPr>
                <w:rFonts w:ascii="Verdana" w:hAnsi="Verdana" w:cs="Arial"/>
                <w:sz w:val="18"/>
                <w:szCs w:val="18"/>
                <w:lang w:val="en-US"/>
              </w:rPr>
            </w:pPr>
          </w:p>
        </w:tc>
      </w:tr>
      <w:tr w:rsidR="00D81D3D" w:rsidRPr="00016DC5" w14:paraId="331A05CA" w14:textId="77777777" w:rsidTr="00BE12AD">
        <w:trPr>
          <w:trHeight w:val="20"/>
          <w:jc w:val="center"/>
        </w:trPr>
        <w:tc>
          <w:tcPr>
            <w:tcW w:w="5382" w:type="dxa"/>
          </w:tcPr>
          <w:p w14:paraId="12837FB2" w14:textId="451F0E1F" w:rsidR="00D81D3D" w:rsidRPr="00295D4D" w:rsidRDefault="00D81D3D" w:rsidP="00D81D3D">
            <w:pPr>
              <w:pStyle w:val="Recuodecorpodetexto"/>
              <w:tabs>
                <w:tab w:val="left" w:pos="817"/>
              </w:tabs>
              <w:spacing w:after="0" w:line="320" w:lineRule="exact"/>
              <w:ind w:left="0"/>
              <w:jc w:val="both"/>
              <w:rPr>
                <w:rFonts w:ascii="Verdana" w:hAnsi="Verdana" w:cs="Arial"/>
                <w:sz w:val="18"/>
                <w:szCs w:val="18"/>
              </w:rPr>
            </w:pPr>
            <w:r w:rsidRPr="00295D4D">
              <w:rPr>
                <w:rFonts w:ascii="Verdana" w:hAnsi="Verdana" w:cs="Arial"/>
                <w:b/>
                <w:sz w:val="18"/>
                <w:szCs w:val="18"/>
              </w:rPr>
              <w:t>1.</w:t>
            </w:r>
            <w:r w:rsidRPr="00295D4D">
              <w:rPr>
                <w:rFonts w:ascii="Verdana" w:hAnsi="Verdana" w:cs="Arial"/>
                <w:sz w:val="18"/>
                <w:szCs w:val="18"/>
              </w:rPr>
              <w:tab/>
              <w:t xml:space="preserve">Nos termos do presente Pedido de Subscrição Prioritária, a Companhia, devidamente representada pelo(a) </w:t>
            </w:r>
            <w:sdt>
              <w:sdtPr>
                <w:rPr>
                  <w:rFonts w:ascii="Verdana" w:hAnsi="Verdana" w:cs="Arial"/>
                  <w:sz w:val="18"/>
                  <w:szCs w:val="18"/>
                </w:rPr>
                <w:id w:val="1692335079"/>
                <w:placeholder>
                  <w:docPart w:val="DefaultPlaceholder_-1854013440"/>
                </w:placeholder>
              </w:sdtPr>
              <w:sdtEndPr>
                <w:rPr>
                  <w:highlight w:val="lightGray"/>
                </w:rPr>
              </w:sdtEndPr>
              <w:sdtContent>
                <w:r w:rsidRPr="00295D4D">
                  <w:rPr>
                    <w:rFonts w:ascii="Verdana" w:hAnsi="Verdana" w:cs="Arial"/>
                    <w:sz w:val="18"/>
                    <w:szCs w:val="18"/>
                    <w:highlight w:val="lightGray"/>
                  </w:rPr>
                  <w:t>[  ]</w:t>
                </w:r>
              </w:sdtContent>
            </w:sdt>
            <w:r w:rsidRPr="00295D4D">
              <w:rPr>
                <w:rFonts w:ascii="Verdana" w:hAnsi="Verdana" w:cs="Arial"/>
                <w:sz w:val="18"/>
                <w:szCs w:val="18"/>
              </w:rPr>
              <w:t xml:space="preserve">, o AGENTE DE CUSTÓDIA, instituição financeira com sede na cidade de </w:t>
            </w:r>
            <w:sdt>
              <w:sdtPr>
                <w:rPr>
                  <w:rFonts w:ascii="Verdana" w:hAnsi="Verdana" w:cs="Arial"/>
                  <w:sz w:val="18"/>
                  <w:szCs w:val="18"/>
                </w:rPr>
                <w:id w:val="-372855768"/>
                <w:placeholder>
                  <w:docPart w:val="DefaultPlaceholder_-1854013440"/>
                </w:placeholder>
              </w:sdtPr>
              <w:sdtEndPr>
                <w:rPr>
                  <w:highlight w:val="lightGray"/>
                </w:rPr>
              </w:sdtEndPr>
              <w:sdtContent>
                <w:r w:rsidRPr="00295D4D">
                  <w:rPr>
                    <w:rFonts w:ascii="Verdana" w:hAnsi="Verdana" w:cs="Arial"/>
                    <w:sz w:val="18"/>
                    <w:szCs w:val="18"/>
                    <w:highlight w:val="lightGray"/>
                  </w:rPr>
                  <w:t>[  ]</w:t>
                </w:r>
              </w:sdtContent>
            </w:sdt>
            <w:r w:rsidRPr="00295D4D">
              <w:rPr>
                <w:rFonts w:ascii="Verdana" w:hAnsi="Verdana" w:cs="Arial"/>
                <w:sz w:val="18"/>
                <w:szCs w:val="18"/>
              </w:rPr>
              <w:t xml:space="preserve">, estado de </w:t>
            </w:r>
            <w:sdt>
              <w:sdtPr>
                <w:rPr>
                  <w:rFonts w:ascii="Verdana" w:hAnsi="Verdana" w:cs="Arial"/>
                  <w:sz w:val="18"/>
                  <w:szCs w:val="18"/>
                </w:rPr>
                <w:id w:val="-1589300091"/>
                <w:placeholder>
                  <w:docPart w:val="DefaultPlaceholder_-1854013440"/>
                </w:placeholder>
              </w:sdtPr>
              <w:sdtEndPr>
                <w:rPr>
                  <w:highlight w:val="lightGray"/>
                </w:rPr>
              </w:sdtEndPr>
              <w:sdtContent>
                <w:r w:rsidRPr="00295D4D">
                  <w:rPr>
                    <w:rFonts w:ascii="Verdana" w:hAnsi="Verdana" w:cs="Arial"/>
                    <w:sz w:val="18"/>
                    <w:szCs w:val="18"/>
                    <w:highlight w:val="lightGray"/>
                  </w:rPr>
                  <w:t>[  ]</w:t>
                </w:r>
              </w:sdtContent>
            </w:sdt>
            <w:r w:rsidRPr="00295D4D">
              <w:rPr>
                <w:rFonts w:ascii="Verdana" w:hAnsi="Verdana" w:cs="Arial"/>
                <w:sz w:val="18"/>
                <w:szCs w:val="18"/>
              </w:rPr>
              <w:t xml:space="preserve">, na </w:t>
            </w:r>
            <w:sdt>
              <w:sdtPr>
                <w:rPr>
                  <w:rFonts w:ascii="Verdana" w:hAnsi="Verdana" w:cs="Arial"/>
                  <w:sz w:val="18"/>
                  <w:szCs w:val="18"/>
                </w:rPr>
                <w:id w:val="-1766836223"/>
                <w:placeholder>
                  <w:docPart w:val="DefaultPlaceholder_-1854013440"/>
                </w:placeholder>
              </w:sdtPr>
              <w:sdtEndPr>
                <w:rPr>
                  <w:highlight w:val="lightGray"/>
                </w:rPr>
              </w:sdtEndPr>
              <w:sdtContent>
                <w:r w:rsidRPr="00295D4D">
                  <w:rPr>
                    <w:rFonts w:ascii="Verdana" w:hAnsi="Verdana" w:cs="Arial"/>
                    <w:sz w:val="18"/>
                    <w:szCs w:val="18"/>
                    <w:highlight w:val="lightGray"/>
                  </w:rPr>
                  <w:t>[  ]</w:t>
                </w:r>
              </w:sdtContent>
            </w:sdt>
            <w:r w:rsidRPr="00295D4D">
              <w:rPr>
                <w:rFonts w:ascii="Verdana" w:hAnsi="Verdana" w:cs="Arial"/>
                <w:sz w:val="18"/>
                <w:szCs w:val="18"/>
              </w:rPr>
              <w:t>, inscrita no CNPJ sob o n.º </w:t>
            </w:r>
            <w:sdt>
              <w:sdtPr>
                <w:rPr>
                  <w:rFonts w:ascii="Verdana" w:hAnsi="Verdana" w:cs="Arial"/>
                  <w:sz w:val="18"/>
                  <w:szCs w:val="18"/>
                </w:rPr>
                <w:id w:val="-1495639471"/>
                <w:placeholder>
                  <w:docPart w:val="DefaultPlaceholder_-1854013440"/>
                </w:placeholder>
              </w:sdtPr>
              <w:sdtEndPr>
                <w:rPr>
                  <w:highlight w:val="lightGray"/>
                </w:rPr>
              </w:sdtEndPr>
              <w:sdtContent>
                <w:r w:rsidRPr="00295D4D">
                  <w:rPr>
                    <w:rFonts w:ascii="Verdana" w:hAnsi="Verdana" w:cs="Arial"/>
                    <w:sz w:val="18"/>
                    <w:szCs w:val="18"/>
                    <w:highlight w:val="lightGray"/>
                  </w:rPr>
                  <w:t>[  ]</w:t>
                </w:r>
              </w:sdtContent>
            </w:sdt>
            <w:r w:rsidRPr="00295D4D">
              <w:rPr>
                <w:rFonts w:ascii="Verdana" w:hAnsi="Verdana" w:cs="Arial"/>
                <w:sz w:val="18"/>
                <w:szCs w:val="18"/>
              </w:rPr>
              <w:t xml:space="preserve">, devidamente autorizada a operar na B3 e detentor de autorização de acesso para custódia de ativos no ambiente da B3, devidamente habilitado para atuar no exercício de Direito de Prioridade no âmbito de ofertas públicas de ações, nos termos do </w:t>
            </w:r>
            <w:r w:rsidR="008A608C">
              <w:rPr>
                <w:rFonts w:ascii="Verdana" w:hAnsi="Verdana" w:cs="Arial"/>
                <w:sz w:val="18"/>
                <w:szCs w:val="18"/>
              </w:rPr>
              <w:t>MPO da Câmara B3</w:t>
            </w:r>
            <w:r w:rsidRPr="00295D4D">
              <w:rPr>
                <w:rFonts w:ascii="Verdana" w:hAnsi="Verdana" w:cs="Arial"/>
                <w:sz w:val="18"/>
                <w:szCs w:val="18"/>
              </w:rPr>
              <w:t xml:space="preserve"> (“</w:t>
            </w:r>
            <w:r w:rsidRPr="00295D4D">
              <w:rPr>
                <w:rFonts w:ascii="Verdana" w:hAnsi="Verdana" w:cs="Arial"/>
                <w:b/>
                <w:sz w:val="18"/>
                <w:szCs w:val="18"/>
              </w:rPr>
              <w:t xml:space="preserve">AGENTE DE </w:t>
            </w:r>
            <w:r w:rsidRPr="00295D4D">
              <w:rPr>
                <w:rFonts w:ascii="Verdana" w:hAnsi="Verdana" w:cs="Arial"/>
                <w:b/>
                <w:sz w:val="18"/>
                <w:szCs w:val="18"/>
              </w:rPr>
              <w:lastRenderedPageBreak/>
              <w:t>CUSTÓDIA</w:t>
            </w:r>
            <w:r w:rsidRPr="00295D4D">
              <w:rPr>
                <w:rFonts w:ascii="Verdana" w:hAnsi="Verdana" w:cs="Arial"/>
                <w:sz w:val="18"/>
                <w:szCs w:val="18"/>
              </w:rPr>
              <w:t xml:space="preserve">”), obriga-se a entregar ao SUBSCRITOR, sujeito aos termos e condições deste Pedido de Subscrição Prioritária, </w:t>
            </w:r>
            <w:r>
              <w:rPr>
                <w:rFonts w:ascii="Verdana" w:hAnsi="Verdana" w:cs="Arial"/>
                <w:sz w:val="18"/>
                <w:szCs w:val="18"/>
              </w:rPr>
              <w:t xml:space="preserve">Cestas de </w:t>
            </w:r>
            <w:r w:rsidRPr="00295D4D">
              <w:rPr>
                <w:rFonts w:ascii="Verdana" w:hAnsi="Verdana" w:cs="Arial"/>
                <w:sz w:val="18"/>
                <w:szCs w:val="18"/>
              </w:rPr>
              <w:t>Ações em quantidade e valor a serem apurados nos termos deste Pedido de Subscrição Prioritária, limitado ao montante indicado no campo 26 acima.</w:t>
            </w:r>
          </w:p>
        </w:tc>
        <w:tc>
          <w:tcPr>
            <w:tcW w:w="5168" w:type="dxa"/>
          </w:tcPr>
          <w:p w14:paraId="59C69A4B" w14:textId="6DB4427E" w:rsidR="00D81D3D" w:rsidRPr="00295D4D" w:rsidRDefault="00D81D3D" w:rsidP="00D81D3D">
            <w:pPr>
              <w:pStyle w:val="Recuodecorpodetexto"/>
              <w:tabs>
                <w:tab w:val="left" w:pos="817"/>
              </w:tabs>
              <w:spacing w:after="0" w:line="320" w:lineRule="exact"/>
              <w:ind w:left="0"/>
              <w:jc w:val="both"/>
              <w:rPr>
                <w:rFonts w:ascii="Verdana" w:hAnsi="Verdana" w:cs="Arial"/>
                <w:sz w:val="18"/>
                <w:szCs w:val="18"/>
                <w:lang w:val="en-US"/>
              </w:rPr>
            </w:pPr>
            <w:r w:rsidRPr="00295D4D">
              <w:rPr>
                <w:rFonts w:ascii="Verdana" w:hAnsi="Verdana" w:cs="Arial"/>
                <w:b/>
                <w:sz w:val="18"/>
                <w:szCs w:val="18"/>
                <w:lang w:val="en-US"/>
              </w:rPr>
              <w:lastRenderedPageBreak/>
              <w:t>1.</w:t>
            </w:r>
            <w:r w:rsidRPr="00295D4D">
              <w:rPr>
                <w:rFonts w:ascii="Verdana" w:hAnsi="Verdana" w:cs="Arial"/>
                <w:sz w:val="18"/>
                <w:szCs w:val="18"/>
                <w:lang w:val="en-US"/>
              </w:rPr>
              <w:t xml:space="preserve"> Under the terms of this Priority Subscription Order, the Company, duly represented by </w:t>
            </w:r>
            <w:sdt>
              <w:sdtPr>
                <w:rPr>
                  <w:rFonts w:ascii="Verdana" w:hAnsi="Verdana" w:cs="Arial"/>
                  <w:sz w:val="18"/>
                  <w:szCs w:val="18"/>
                  <w:lang w:val="en-US"/>
                </w:rPr>
                <w:id w:val="320089813"/>
                <w:placeholder>
                  <w:docPart w:val="DefaultPlaceholder_-1854013440"/>
                </w:placeholder>
              </w:sdtPr>
              <w:sdtEndPr>
                <w:rPr>
                  <w:highlight w:val="lightGray"/>
                </w:rPr>
              </w:sdtEndPr>
              <w:sdtContent>
                <w:r w:rsidRPr="00295D4D">
                  <w:rPr>
                    <w:rFonts w:ascii="Verdana" w:hAnsi="Verdana" w:cs="Arial"/>
                    <w:sz w:val="18"/>
                    <w:szCs w:val="18"/>
                    <w:highlight w:val="lightGray"/>
                    <w:lang w:val="en-US"/>
                  </w:rPr>
                  <w:t>[  ]</w:t>
                </w:r>
              </w:sdtContent>
            </w:sdt>
            <w:r w:rsidRPr="00295D4D">
              <w:rPr>
                <w:rFonts w:ascii="Verdana" w:hAnsi="Verdana" w:cs="Arial"/>
                <w:sz w:val="18"/>
                <w:szCs w:val="18"/>
                <w:lang w:val="en-US"/>
              </w:rPr>
              <w:t xml:space="preserve">, the CUSTODY AGENT, a financial institution that is headquartered in the City of </w:t>
            </w:r>
            <w:sdt>
              <w:sdtPr>
                <w:rPr>
                  <w:rFonts w:ascii="Verdana" w:hAnsi="Verdana" w:cs="Arial"/>
                  <w:sz w:val="18"/>
                  <w:szCs w:val="18"/>
                  <w:lang w:val="en-US"/>
                </w:rPr>
                <w:id w:val="-1713027452"/>
                <w:placeholder>
                  <w:docPart w:val="DefaultPlaceholder_-1854013440"/>
                </w:placeholder>
              </w:sdtPr>
              <w:sdtEndPr>
                <w:rPr>
                  <w:highlight w:val="lightGray"/>
                </w:rPr>
              </w:sdtEndPr>
              <w:sdtContent>
                <w:r w:rsidRPr="00295D4D">
                  <w:rPr>
                    <w:rFonts w:ascii="Verdana" w:hAnsi="Verdana" w:cs="Arial"/>
                    <w:sz w:val="18"/>
                    <w:szCs w:val="18"/>
                    <w:highlight w:val="lightGray"/>
                    <w:lang w:val="en-US"/>
                  </w:rPr>
                  <w:t>[  ]</w:t>
                </w:r>
              </w:sdtContent>
            </w:sdt>
            <w:r w:rsidRPr="00295D4D">
              <w:rPr>
                <w:rFonts w:ascii="Verdana" w:hAnsi="Verdana" w:cs="Arial"/>
                <w:sz w:val="18"/>
                <w:szCs w:val="18"/>
                <w:lang w:val="en-US"/>
              </w:rPr>
              <w:t xml:space="preserve">, State of </w:t>
            </w:r>
            <w:sdt>
              <w:sdtPr>
                <w:rPr>
                  <w:rFonts w:ascii="Verdana" w:hAnsi="Verdana" w:cs="Arial"/>
                  <w:sz w:val="18"/>
                  <w:szCs w:val="18"/>
                  <w:lang w:val="en-US"/>
                </w:rPr>
                <w:id w:val="-876000598"/>
                <w:placeholder>
                  <w:docPart w:val="DefaultPlaceholder_-1854013440"/>
                </w:placeholder>
              </w:sdtPr>
              <w:sdtEndPr>
                <w:rPr>
                  <w:highlight w:val="lightGray"/>
                </w:rPr>
              </w:sdtEndPr>
              <w:sdtContent>
                <w:r w:rsidRPr="00295D4D">
                  <w:rPr>
                    <w:rFonts w:ascii="Verdana" w:hAnsi="Verdana" w:cs="Arial"/>
                    <w:sz w:val="18"/>
                    <w:szCs w:val="18"/>
                    <w:highlight w:val="lightGray"/>
                    <w:lang w:val="en-US"/>
                  </w:rPr>
                  <w:t>[  ]</w:t>
                </w:r>
              </w:sdtContent>
            </w:sdt>
            <w:r w:rsidRPr="00295D4D">
              <w:rPr>
                <w:rFonts w:ascii="Verdana" w:hAnsi="Verdana" w:cs="Arial"/>
                <w:sz w:val="18"/>
                <w:szCs w:val="18"/>
                <w:lang w:val="en-US"/>
              </w:rPr>
              <w:t xml:space="preserve">, at </w:t>
            </w:r>
            <w:sdt>
              <w:sdtPr>
                <w:rPr>
                  <w:rFonts w:ascii="Verdana" w:hAnsi="Verdana" w:cs="Arial"/>
                  <w:sz w:val="18"/>
                  <w:szCs w:val="18"/>
                  <w:lang w:val="en-US"/>
                </w:rPr>
                <w:id w:val="911123589"/>
                <w:placeholder>
                  <w:docPart w:val="DefaultPlaceholder_-1854013440"/>
                </w:placeholder>
              </w:sdtPr>
              <w:sdtEndPr>
                <w:rPr>
                  <w:highlight w:val="lightGray"/>
                </w:rPr>
              </w:sdtEndPr>
              <w:sdtContent>
                <w:r w:rsidRPr="00295D4D">
                  <w:rPr>
                    <w:rFonts w:ascii="Verdana" w:hAnsi="Verdana" w:cs="Arial"/>
                    <w:sz w:val="18"/>
                    <w:szCs w:val="18"/>
                    <w:highlight w:val="lightGray"/>
                    <w:lang w:val="en-US"/>
                  </w:rPr>
                  <w:t>[  ]</w:t>
                </w:r>
              </w:sdtContent>
            </w:sdt>
            <w:r w:rsidRPr="00295D4D">
              <w:rPr>
                <w:rFonts w:ascii="Verdana" w:hAnsi="Verdana" w:cs="Arial"/>
                <w:sz w:val="18"/>
                <w:szCs w:val="18"/>
                <w:lang w:val="en-US"/>
              </w:rPr>
              <w:t xml:space="preserve">, registered in the CNPJ under No. </w:t>
            </w:r>
            <w:sdt>
              <w:sdtPr>
                <w:rPr>
                  <w:rFonts w:ascii="Verdana" w:hAnsi="Verdana" w:cs="Arial"/>
                  <w:sz w:val="18"/>
                  <w:szCs w:val="18"/>
                  <w:lang w:val="en-US"/>
                </w:rPr>
                <w:id w:val="1859078423"/>
                <w:placeholder>
                  <w:docPart w:val="DefaultPlaceholder_-1854013440"/>
                </w:placeholder>
              </w:sdtPr>
              <w:sdtEndPr>
                <w:rPr>
                  <w:highlight w:val="lightGray"/>
                </w:rPr>
              </w:sdtEndPr>
              <w:sdtContent>
                <w:r w:rsidRPr="00295D4D">
                  <w:rPr>
                    <w:rFonts w:ascii="Verdana" w:hAnsi="Verdana" w:cs="Arial"/>
                    <w:sz w:val="18"/>
                    <w:szCs w:val="18"/>
                    <w:highlight w:val="lightGray"/>
                    <w:lang w:val="en-US"/>
                  </w:rPr>
                  <w:t>[  ]</w:t>
                </w:r>
              </w:sdtContent>
            </w:sdt>
            <w:r w:rsidRPr="00295D4D">
              <w:rPr>
                <w:rFonts w:ascii="Verdana" w:hAnsi="Verdana" w:cs="Arial"/>
                <w:sz w:val="18"/>
                <w:szCs w:val="18"/>
                <w:lang w:val="en-US"/>
              </w:rPr>
              <w:t xml:space="preserve">, duly authorized to operate in the B3 and bearer of access authorization for the custody of assets in the context of B3, duly authorized to act in the exercise of Priority Subscription Right under the scope of public offers of shares pursuant to </w:t>
            </w:r>
            <w:r w:rsidR="008A608C">
              <w:rPr>
                <w:rFonts w:ascii="Verdana" w:hAnsi="Verdana" w:cs="Arial"/>
                <w:sz w:val="18"/>
                <w:szCs w:val="18"/>
                <w:lang w:val="en-US"/>
              </w:rPr>
              <w:t>B3 Chamber MPO</w:t>
            </w:r>
            <w:r w:rsidRPr="00295D4D">
              <w:rPr>
                <w:rFonts w:ascii="Verdana" w:hAnsi="Verdana" w:cs="Arial"/>
                <w:sz w:val="18"/>
                <w:szCs w:val="18"/>
                <w:lang w:val="en-US"/>
              </w:rPr>
              <w:t xml:space="preserve"> (“</w:t>
            </w:r>
            <w:r w:rsidRPr="00295D4D">
              <w:rPr>
                <w:rFonts w:ascii="Verdana" w:hAnsi="Verdana" w:cs="Arial"/>
                <w:b/>
                <w:sz w:val="18"/>
                <w:szCs w:val="18"/>
                <w:lang w:val="en-US"/>
              </w:rPr>
              <w:t>CUSTODY AGENT</w:t>
            </w:r>
            <w:r w:rsidRPr="00295D4D">
              <w:rPr>
                <w:rFonts w:ascii="Verdana" w:hAnsi="Verdana" w:cs="Arial"/>
                <w:sz w:val="18"/>
                <w:szCs w:val="18"/>
                <w:lang w:val="en-US"/>
              </w:rPr>
              <w:t xml:space="preserve">”), obliging them to </w:t>
            </w:r>
            <w:r w:rsidRPr="00295D4D">
              <w:rPr>
                <w:rFonts w:ascii="Verdana" w:hAnsi="Verdana" w:cs="Arial"/>
                <w:sz w:val="18"/>
                <w:szCs w:val="18"/>
                <w:lang w:val="en-US"/>
              </w:rPr>
              <w:lastRenderedPageBreak/>
              <w:t xml:space="preserve">deliver to the SUBSCRIBER, subject to the terms and conditions of this Priority Subscription Order, </w:t>
            </w:r>
            <w:r w:rsidR="00230CAA">
              <w:rPr>
                <w:rFonts w:ascii="Verdana" w:hAnsi="Verdana" w:cs="Arial"/>
                <w:sz w:val="18"/>
                <w:szCs w:val="18"/>
                <w:lang w:val="en-US"/>
              </w:rPr>
              <w:t>Baskets of Shares</w:t>
            </w:r>
            <w:r w:rsidRPr="00295D4D">
              <w:rPr>
                <w:rFonts w:ascii="Verdana" w:hAnsi="Verdana" w:cs="Arial"/>
                <w:sz w:val="18"/>
                <w:szCs w:val="18"/>
                <w:lang w:val="en-US"/>
              </w:rPr>
              <w:t xml:space="preserve"> in the quantity and value to be determined pursuant to this Priority Subscription Order, limited to the amount indicated in field 26 above.</w:t>
            </w:r>
          </w:p>
        </w:tc>
      </w:tr>
      <w:tr w:rsidR="00D81D3D" w:rsidRPr="00016DC5" w14:paraId="20CCD01C" w14:textId="77777777" w:rsidTr="00BE12AD">
        <w:trPr>
          <w:trHeight w:val="20"/>
          <w:jc w:val="center"/>
        </w:trPr>
        <w:tc>
          <w:tcPr>
            <w:tcW w:w="5382" w:type="dxa"/>
          </w:tcPr>
          <w:p w14:paraId="085CE85C" w14:textId="77777777" w:rsidR="00D81D3D" w:rsidRPr="00295D4D" w:rsidRDefault="00D81D3D" w:rsidP="00D81D3D">
            <w:pPr>
              <w:pStyle w:val="Recuodecorpodetexto"/>
              <w:tabs>
                <w:tab w:val="left" w:pos="817"/>
              </w:tabs>
              <w:spacing w:after="0" w:line="320" w:lineRule="exact"/>
              <w:ind w:left="0"/>
              <w:rPr>
                <w:rFonts w:ascii="Verdana" w:hAnsi="Verdana" w:cs="Arial"/>
                <w:sz w:val="18"/>
                <w:szCs w:val="18"/>
                <w:lang w:val="en-US"/>
              </w:rPr>
            </w:pPr>
          </w:p>
        </w:tc>
        <w:tc>
          <w:tcPr>
            <w:tcW w:w="5168" w:type="dxa"/>
          </w:tcPr>
          <w:p w14:paraId="6F4AB9F5" w14:textId="77777777" w:rsidR="00D81D3D" w:rsidRPr="00295D4D" w:rsidRDefault="00D81D3D" w:rsidP="00D81D3D">
            <w:pPr>
              <w:pStyle w:val="Recuodecorpodetexto"/>
              <w:tabs>
                <w:tab w:val="left" w:pos="817"/>
              </w:tabs>
              <w:spacing w:after="0" w:line="320" w:lineRule="exact"/>
              <w:ind w:left="0"/>
              <w:rPr>
                <w:rFonts w:ascii="Verdana" w:hAnsi="Verdana" w:cs="Arial"/>
                <w:sz w:val="18"/>
                <w:szCs w:val="18"/>
                <w:lang w:val="en-US"/>
              </w:rPr>
            </w:pPr>
          </w:p>
        </w:tc>
      </w:tr>
      <w:tr w:rsidR="00D81D3D" w:rsidRPr="00016DC5" w14:paraId="699CC4BF" w14:textId="77777777" w:rsidTr="00BE12AD">
        <w:trPr>
          <w:trHeight w:val="20"/>
          <w:jc w:val="center"/>
        </w:trPr>
        <w:tc>
          <w:tcPr>
            <w:tcW w:w="5382" w:type="dxa"/>
          </w:tcPr>
          <w:p w14:paraId="6C588F6C" w14:textId="7A12A6E2" w:rsidR="00D81D3D" w:rsidRPr="00295D4D" w:rsidRDefault="00D81D3D" w:rsidP="00D81D3D">
            <w:pPr>
              <w:pStyle w:val="Recuodecorpodetexto"/>
              <w:tabs>
                <w:tab w:val="left" w:pos="817"/>
              </w:tabs>
              <w:spacing w:after="0" w:line="320" w:lineRule="exact"/>
              <w:ind w:left="0"/>
              <w:jc w:val="both"/>
              <w:rPr>
                <w:rFonts w:ascii="Verdana" w:hAnsi="Verdana" w:cs="Arial"/>
                <w:sz w:val="18"/>
                <w:szCs w:val="18"/>
              </w:rPr>
            </w:pPr>
            <w:r w:rsidRPr="00295D4D">
              <w:rPr>
                <w:rFonts w:ascii="Verdana" w:hAnsi="Verdana" w:cs="Arial"/>
                <w:b/>
                <w:sz w:val="18"/>
                <w:szCs w:val="18"/>
              </w:rPr>
              <w:t>2.</w:t>
            </w:r>
            <w:r w:rsidRPr="00295D4D">
              <w:rPr>
                <w:rFonts w:ascii="Verdana" w:hAnsi="Verdana" w:cs="Arial"/>
                <w:sz w:val="18"/>
                <w:szCs w:val="18"/>
              </w:rPr>
              <w:tab/>
              <w:t xml:space="preserve">No âmbito da Oferta Prioritária, as Ações conferirão aos seus titulares os mesmos direitos, vantagens e restrições conferidos aos titulares de ações </w:t>
            </w:r>
            <w:r>
              <w:rPr>
                <w:rFonts w:ascii="Verdana" w:hAnsi="Verdana" w:cs="Arial"/>
                <w:sz w:val="18"/>
                <w:szCs w:val="18"/>
              </w:rPr>
              <w:t>ordinárias</w:t>
            </w:r>
            <w:r w:rsidRPr="00295D4D">
              <w:rPr>
                <w:rFonts w:ascii="Verdana" w:hAnsi="Verdana" w:cs="Arial"/>
                <w:sz w:val="18"/>
                <w:szCs w:val="18"/>
              </w:rPr>
              <w:t xml:space="preserve"> de emissão da Companhia, nos termos previstos em seu Estatuto Social, na Lei das Sociedades por Ações e no Regulamento do Nível </w:t>
            </w:r>
            <w:r w:rsidR="00637CB4">
              <w:rPr>
                <w:rFonts w:ascii="Verdana" w:hAnsi="Verdana" w:cs="Arial"/>
                <w:sz w:val="18"/>
                <w:szCs w:val="18"/>
              </w:rPr>
              <w:t>2</w:t>
            </w:r>
            <w:r w:rsidRPr="00295D4D">
              <w:rPr>
                <w:rFonts w:ascii="Verdana" w:hAnsi="Verdana" w:cs="Arial"/>
                <w:sz w:val="18"/>
                <w:szCs w:val="18"/>
              </w:rPr>
              <w:t xml:space="preserve">, conforme vigentes nesta data. </w:t>
            </w:r>
          </w:p>
        </w:tc>
        <w:tc>
          <w:tcPr>
            <w:tcW w:w="5168" w:type="dxa"/>
          </w:tcPr>
          <w:p w14:paraId="1C83067E" w14:textId="3899378B" w:rsidR="00D81D3D" w:rsidRPr="00295D4D" w:rsidRDefault="00D81D3D" w:rsidP="00D81D3D">
            <w:pPr>
              <w:pStyle w:val="Recuodecorpodetexto"/>
              <w:tabs>
                <w:tab w:val="left" w:pos="817"/>
              </w:tabs>
              <w:spacing w:after="0" w:line="320" w:lineRule="exact"/>
              <w:ind w:left="0"/>
              <w:jc w:val="both"/>
              <w:rPr>
                <w:rFonts w:ascii="Verdana" w:hAnsi="Verdana" w:cs="Arial"/>
                <w:sz w:val="18"/>
                <w:szCs w:val="18"/>
                <w:lang w:val="en-US"/>
              </w:rPr>
            </w:pPr>
            <w:r w:rsidRPr="00295D4D">
              <w:rPr>
                <w:rFonts w:ascii="Verdana" w:hAnsi="Verdana" w:cs="Arial"/>
                <w:b/>
                <w:sz w:val="18"/>
                <w:szCs w:val="18"/>
                <w:lang w:val="en-US"/>
              </w:rPr>
              <w:t>2.</w:t>
            </w:r>
            <w:r w:rsidRPr="00295D4D">
              <w:rPr>
                <w:rFonts w:ascii="Verdana" w:hAnsi="Verdana" w:cs="Arial"/>
                <w:sz w:val="18"/>
                <w:szCs w:val="18"/>
                <w:lang w:val="en-US"/>
              </w:rPr>
              <w:t xml:space="preserve"> In the context of the Priority Offering, the Shares shall confer upon their holders the same rights, advantages and constraints given to holders of </w:t>
            </w:r>
            <w:r>
              <w:rPr>
                <w:rFonts w:ascii="Verdana" w:hAnsi="Verdana" w:cs="Arial"/>
                <w:sz w:val="18"/>
                <w:szCs w:val="18"/>
                <w:lang w:val="en-US"/>
              </w:rPr>
              <w:t>common</w:t>
            </w:r>
            <w:r w:rsidRPr="00295D4D">
              <w:rPr>
                <w:rFonts w:ascii="Verdana" w:hAnsi="Verdana" w:cs="Arial"/>
                <w:sz w:val="18"/>
                <w:szCs w:val="18"/>
                <w:lang w:val="en-US"/>
              </w:rPr>
              <w:t xml:space="preserve"> shares issued by the company, under the terms established in its Articles of Incorporation, in Corporate Law and in the </w:t>
            </w:r>
            <w:proofErr w:type="spellStart"/>
            <w:r w:rsidRPr="00295D4D">
              <w:rPr>
                <w:rFonts w:ascii="Verdana" w:hAnsi="Verdana" w:cs="Arial"/>
                <w:sz w:val="18"/>
                <w:szCs w:val="18"/>
                <w:lang w:val="en-US"/>
              </w:rPr>
              <w:t>Nível</w:t>
            </w:r>
            <w:proofErr w:type="spellEnd"/>
            <w:r w:rsidRPr="00295D4D">
              <w:rPr>
                <w:rFonts w:ascii="Verdana" w:hAnsi="Verdana" w:cs="Arial"/>
                <w:sz w:val="18"/>
                <w:szCs w:val="18"/>
                <w:lang w:val="en-US"/>
              </w:rPr>
              <w:t xml:space="preserve"> </w:t>
            </w:r>
            <w:r w:rsidR="00637CB4">
              <w:rPr>
                <w:rFonts w:ascii="Verdana" w:hAnsi="Verdana" w:cs="Arial"/>
                <w:sz w:val="18"/>
                <w:szCs w:val="18"/>
                <w:lang w:val="en-US"/>
              </w:rPr>
              <w:t>2</w:t>
            </w:r>
            <w:r w:rsidRPr="00295D4D">
              <w:rPr>
                <w:rFonts w:ascii="Verdana" w:hAnsi="Verdana" w:cs="Arial"/>
                <w:sz w:val="18"/>
                <w:szCs w:val="18"/>
                <w:lang w:val="en-US"/>
              </w:rPr>
              <w:t xml:space="preserve"> Regulation, according to what is effective on this date. </w:t>
            </w:r>
          </w:p>
        </w:tc>
      </w:tr>
      <w:tr w:rsidR="00D81D3D" w:rsidRPr="00016DC5" w14:paraId="0E7D4FE9" w14:textId="77777777" w:rsidTr="00BE12AD">
        <w:trPr>
          <w:trHeight w:val="20"/>
          <w:jc w:val="center"/>
        </w:trPr>
        <w:tc>
          <w:tcPr>
            <w:tcW w:w="5382" w:type="dxa"/>
          </w:tcPr>
          <w:p w14:paraId="3E34BD56" w14:textId="77777777" w:rsidR="00D81D3D" w:rsidRPr="00295D4D" w:rsidRDefault="00D81D3D" w:rsidP="00D81D3D">
            <w:pPr>
              <w:pStyle w:val="Recuodecorpodetexto"/>
              <w:tabs>
                <w:tab w:val="left" w:pos="817"/>
              </w:tabs>
              <w:spacing w:after="0" w:line="320" w:lineRule="exact"/>
              <w:ind w:left="0"/>
              <w:rPr>
                <w:rFonts w:ascii="Verdana" w:hAnsi="Verdana" w:cs="Arial"/>
                <w:sz w:val="18"/>
                <w:szCs w:val="18"/>
                <w:lang w:val="en-US"/>
              </w:rPr>
            </w:pPr>
          </w:p>
        </w:tc>
        <w:tc>
          <w:tcPr>
            <w:tcW w:w="5168" w:type="dxa"/>
          </w:tcPr>
          <w:p w14:paraId="08505FF1" w14:textId="77777777" w:rsidR="00D81D3D" w:rsidRPr="00295D4D" w:rsidRDefault="00D81D3D" w:rsidP="00D81D3D">
            <w:pPr>
              <w:pStyle w:val="Recuodecorpodetexto"/>
              <w:tabs>
                <w:tab w:val="left" w:pos="817"/>
              </w:tabs>
              <w:spacing w:after="0" w:line="320" w:lineRule="exact"/>
              <w:ind w:left="0"/>
              <w:rPr>
                <w:rFonts w:ascii="Verdana" w:hAnsi="Verdana" w:cs="Arial"/>
                <w:sz w:val="18"/>
                <w:szCs w:val="18"/>
                <w:lang w:val="en-US"/>
              </w:rPr>
            </w:pPr>
          </w:p>
        </w:tc>
      </w:tr>
      <w:tr w:rsidR="00D81D3D" w:rsidRPr="00016DC5" w14:paraId="1DB21642" w14:textId="77777777" w:rsidTr="00BE12AD">
        <w:trPr>
          <w:trHeight w:val="20"/>
          <w:jc w:val="center"/>
        </w:trPr>
        <w:tc>
          <w:tcPr>
            <w:tcW w:w="5382" w:type="dxa"/>
          </w:tcPr>
          <w:p w14:paraId="4689C2F3" w14:textId="1271E371" w:rsidR="00D81D3D" w:rsidRPr="00295D4D" w:rsidRDefault="00D81D3D" w:rsidP="00D81D3D">
            <w:pPr>
              <w:pStyle w:val="Recuodecorpodetexto"/>
              <w:tabs>
                <w:tab w:val="left" w:pos="817"/>
              </w:tabs>
              <w:spacing w:after="0" w:line="320" w:lineRule="exact"/>
              <w:ind w:left="0"/>
              <w:jc w:val="both"/>
              <w:rPr>
                <w:rFonts w:ascii="Verdana" w:hAnsi="Verdana" w:cs="Arial"/>
                <w:sz w:val="18"/>
                <w:szCs w:val="18"/>
              </w:rPr>
            </w:pPr>
            <w:r w:rsidRPr="00295D4D">
              <w:rPr>
                <w:rFonts w:ascii="Verdana" w:hAnsi="Verdana" w:cs="Arial"/>
                <w:b/>
                <w:sz w:val="18"/>
                <w:szCs w:val="18"/>
              </w:rPr>
              <w:t>3</w:t>
            </w:r>
            <w:r w:rsidRPr="00295D4D">
              <w:rPr>
                <w:rFonts w:ascii="Verdana" w:hAnsi="Verdana" w:cs="Arial"/>
                <w:sz w:val="18"/>
                <w:szCs w:val="18"/>
              </w:rPr>
              <w:tab/>
              <w:t xml:space="preserve">Poderá ser aceita a participação de Investidores Profissionais no Procedimento de </w:t>
            </w:r>
            <w:r w:rsidRPr="00295D4D">
              <w:rPr>
                <w:rFonts w:ascii="Verdana" w:hAnsi="Verdana" w:cs="Arial"/>
                <w:iCs/>
                <w:sz w:val="18"/>
                <w:szCs w:val="18"/>
              </w:rPr>
              <w:t>Alocação</w:t>
            </w:r>
            <w:r w:rsidRPr="00295D4D">
              <w:rPr>
                <w:rFonts w:ascii="Verdana" w:hAnsi="Verdana" w:cs="Arial"/>
                <w:sz w:val="18"/>
                <w:szCs w:val="18"/>
              </w:rPr>
              <w:t xml:space="preserve"> que sejam Pessoas Vinculadas. Nos termos do artigo 56 da Resolução CVM 160, exceto conforme disposto no parágrafo 1º, inciso III, combinado com o parágrafo 3º do referido artigo, caso seja verificado excesso de demanda superior em 1/3 à quantidade total de Ações inicialmente ofertadas, não será permitida a colocação de Ações junto a Investidores Profissionais que sejam Pessoas Vinculadas no âmbito da Oferta Institucional, </w:t>
            </w:r>
            <w:r w:rsidRPr="00295D4D">
              <w:rPr>
                <w:rFonts w:ascii="Verdana" w:hAnsi="Verdana" w:cs="Arial"/>
                <w:bCs/>
                <w:iCs/>
                <w:sz w:val="18"/>
                <w:szCs w:val="18"/>
              </w:rPr>
              <w:t>sem prejuízo da sua participação no âmbito da Oferta Prioritária</w:t>
            </w:r>
            <w:r w:rsidRPr="00295D4D">
              <w:rPr>
                <w:rFonts w:ascii="Verdana" w:hAnsi="Verdana" w:cs="Arial"/>
                <w:sz w:val="18"/>
                <w:szCs w:val="18"/>
              </w:rPr>
              <w:t xml:space="preserve"> sendo suas intenções de investimento automaticamente</w:t>
            </w:r>
            <w:r w:rsidRPr="00295D4D">
              <w:rPr>
                <w:rFonts w:ascii="Verdana" w:hAnsi="Verdana" w:cs="Arial"/>
                <w:iCs/>
                <w:sz w:val="18"/>
                <w:szCs w:val="18"/>
              </w:rPr>
              <w:t>.</w:t>
            </w:r>
          </w:p>
        </w:tc>
        <w:tc>
          <w:tcPr>
            <w:tcW w:w="5168" w:type="dxa"/>
          </w:tcPr>
          <w:p w14:paraId="2E08ABC3" w14:textId="457FDEF6" w:rsidR="00D81D3D" w:rsidRPr="00295D4D" w:rsidRDefault="00D81D3D" w:rsidP="00D81D3D">
            <w:pPr>
              <w:pStyle w:val="Recuodecorpodetexto"/>
              <w:tabs>
                <w:tab w:val="left" w:pos="817"/>
              </w:tabs>
              <w:spacing w:after="0" w:line="320" w:lineRule="exact"/>
              <w:ind w:left="0"/>
              <w:jc w:val="both"/>
              <w:rPr>
                <w:rFonts w:ascii="Verdana" w:hAnsi="Verdana" w:cs="Arial"/>
                <w:b/>
                <w:sz w:val="18"/>
                <w:szCs w:val="18"/>
                <w:lang w:val="en-US"/>
              </w:rPr>
            </w:pPr>
            <w:r w:rsidRPr="00295D4D">
              <w:rPr>
                <w:rFonts w:ascii="Verdana" w:hAnsi="Verdana" w:cs="Arial"/>
                <w:b/>
                <w:sz w:val="18"/>
                <w:szCs w:val="18"/>
                <w:lang w:val="en-US"/>
              </w:rPr>
              <w:t xml:space="preserve">3. </w:t>
            </w:r>
            <w:r w:rsidRPr="00295D4D">
              <w:rPr>
                <w:rFonts w:ascii="Verdana" w:hAnsi="Verdana" w:cs="Arial"/>
                <w:sz w:val="18"/>
                <w:szCs w:val="18"/>
                <w:lang w:val="en-US"/>
              </w:rPr>
              <w:t>The participation of Professional Investors who are Related Persons may be accepted in the Placement. Pursuant to Article 56 of CVM Resolution 160, except as provided in paragraph 1, item III, combined with paragraph 3 of the referred article, if excess demand exceeding one-third of the total number of initially offered Shares is verified, the placement of Shares with Professional Investors who are Related Persons within the Institutional Offering will not be permitted. However, this does not affect their participation in the Priority Offering, with their investment intentions being automatically canceled, subject to the provisions of paragraph 1, item III, of said article</w:t>
            </w:r>
            <w:r w:rsidRPr="00295D4D">
              <w:rPr>
                <w:rFonts w:ascii="Verdana" w:hAnsi="Verdana" w:cs="Arial"/>
                <w:iCs/>
                <w:sz w:val="18"/>
                <w:szCs w:val="18"/>
                <w:lang w:val="en-US"/>
              </w:rPr>
              <w:t>.</w:t>
            </w:r>
          </w:p>
        </w:tc>
      </w:tr>
      <w:tr w:rsidR="00D81D3D" w:rsidRPr="00016DC5" w14:paraId="04C779CA" w14:textId="77777777" w:rsidTr="00BE12AD">
        <w:trPr>
          <w:trHeight w:val="20"/>
          <w:jc w:val="center"/>
        </w:trPr>
        <w:tc>
          <w:tcPr>
            <w:tcW w:w="5382" w:type="dxa"/>
          </w:tcPr>
          <w:p w14:paraId="540CA137" w14:textId="77777777" w:rsidR="00D81D3D" w:rsidRPr="00295D4D" w:rsidRDefault="00D81D3D" w:rsidP="00D81D3D">
            <w:pPr>
              <w:pStyle w:val="Recuodecorpodetexto"/>
              <w:tabs>
                <w:tab w:val="left" w:pos="817"/>
              </w:tabs>
              <w:spacing w:after="0" w:line="320" w:lineRule="exact"/>
              <w:ind w:left="0"/>
              <w:jc w:val="both"/>
              <w:rPr>
                <w:rFonts w:ascii="Verdana" w:hAnsi="Verdana" w:cs="Arial"/>
                <w:sz w:val="18"/>
                <w:szCs w:val="18"/>
                <w:lang w:val="en-US"/>
              </w:rPr>
            </w:pPr>
          </w:p>
        </w:tc>
        <w:tc>
          <w:tcPr>
            <w:tcW w:w="5168" w:type="dxa"/>
          </w:tcPr>
          <w:p w14:paraId="0391A083" w14:textId="77777777" w:rsidR="00D81D3D" w:rsidRPr="00295D4D" w:rsidRDefault="00D81D3D" w:rsidP="00D81D3D">
            <w:pPr>
              <w:pStyle w:val="Recuodecorpodetexto"/>
              <w:tabs>
                <w:tab w:val="left" w:pos="817"/>
              </w:tabs>
              <w:spacing w:after="0" w:line="320" w:lineRule="exact"/>
              <w:ind w:left="0"/>
              <w:jc w:val="both"/>
              <w:rPr>
                <w:rFonts w:ascii="Verdana" w:hAnsi="Verdana" w:cs="Arial"/>
                <w:sz w:val="18"/>
                <w:szCs w:val="18"/>
                <w:lang w:val="en-US"/>
              </w:rPr>
            </w:pPr>
          </w:p>
        </w:tc>
      </w:tr>
      <w:tr w:rsidR="00D81D3D" w:rsidRPr="00016DC5" w14:paraId="6196E7ED" w14:textId="74EF555F" w:rsidTr="00BE12AD">
        <w:trPr>
          <w:trHeight w:val="20"/>
          <w:jc w:val="center"/>
        </w:trPr>
        <w:tc>
          <w:tcPr>
            <w:tcW w:w="5382" w:type="dxa"/>
          </w:tcPr>
          <w:p w14:paraId="05C894F6" w14:textId="2049A9AE" w:rsidR="00D81D3D" w:rsidRPr="00295D4D" w:rsidRDefault="00D81D3D" w:rsidP="00D81D3D">
            <w:pPr>
              <w:pStyle w:val="Recuodecorpodetexto"/>
              <w:tabs>
                <w:tab w:val="left" w:pos="817"/>
              </w:tabs>
              <w:spacing w:after="0" w:line="320" w:lineRule="exact"/>
              <w:ind w:left="0"/>
              <w:jc w:val="both"/>
              <w:rPr>
                <w:rFonts w:ascii="Verdana" w:hAnsi="Verdana" w:cs="Arial"/>
                <w:b/>
                <w:sz w:val="18"/>
                <w:szCs w:val="18"/>
              </w:rPr>
            </w:pPr>
            <w:r w:rsidRPr="00295D4D">
              <w:rPr>
                <w:rFonts w:ascii="Verdana" w:hAnsi="Verdana" w:cs="Arial"/>
                <w:b/>
                <w:sz w:val="18"/>
                <w:szCs w:val="18"/>
              </w:rPr>
              <w:t>4.</w:t>
            </w:r>
            <w:r w:rsidRPr="00295D4D">
              <w:rPr>
                <w:rFonts w:ascii="Verdana" w:hAnsi="Verdana" w:cs="Arial"/>
                <w:b/>
                <w:sz w:val="18"/>
                <w:szCs w:val="18"/>
              </w:rPr>
              <w:tab/>
              <w:t xml:space="preserve">Nos termos do artigo 63 da Resolução CVM 160, fica vedada a subscrição de Ações por investidores que tenham realizado vendas a descoberto de ações </w:t>
            </w:r>
            <w:r>
              <w:rPr>
                <w:rFonts w:ascii="Verdana" w:hAnsi="Verdana" w:cs="Arial"/>
                <w:b/>
                <w:sz w:val="18"/>
                <w:szCs w:val="18"/>
              </w:rPr>
              <w:t>ordinárias</w:t>
            </w:r>
            <w:r w:rsidRPr="00295D4D">
              <w:rPr>
                <w:rFonts w:ascii="Verdana" w:hAnsi="Verdana" w:cs="Arial"/>
                <w:b/>
                <w:sz w:val="18"/>
                <w:szCs w:val="18"/>
              </w:rPr>
              <w:t xml:space="preserve"> de emissão da Companhia na data da RCA da Aprovação e nos cinco pregões que a antecederem. </w:t>
            </w:r>
            <w:r w:rsidRPr="00295D4D">
              <w:rPr>
                <w:rFonts w:ascii="Verdana" w:hAnsi="Verdana" w:cs="Arial"/>
                <w:b/>
                <w:bCs/>
                <w:sz w:val="18"/>
                <w:szCs w:val="18"/>
              </w:rPr>
              <w:t xml:space="preserve">São consideradas vendas a descoberto aquelas realizadas por investidores que não sejam titulares das ações </w:t>
            </w:r>
            <w:r>
              <w:rPr>
                <w:rFonts w:ascii="Verdana" w:hAnsi="Verdana" w:cs="Arial"/>
                <w:b/>
                <w:sz w:val="18"/>
                <w:szCs w:val="18"/>
              </w:rPr>
              <w:t>ordinárias</w:t>
            </w:r>
            <w:r w:rsidRPr="00295D4D">
              <w:rPr>
                <w:rFonts w:ascii="Verdana" w:hAnsi="Verdana" w:cs="Arial"/>
                <w:b/>
                <w:sz w:val="18"/>
                <w:szCs w:val="18"/>
              </w:rPr>
              <w:t xml:space="preserve"> </w:t>
            </w:r>
            <w:r w:rsidRPr="00295D4D">
              <w:rPr>
                <w:rFonts w:ascii="Verdana" w:hAnsi="Verdana" w:cs="Arial"/>
                <w:b/>
                <w:bCs/>
                <w:sz w:val="18"/>
                <w:szCs w:val="18"/>
              </w:rPr>
              <w:t xml:space="preserve">de emissão da Companhia, ou cuja titularidade resulte de empréstimo ou outro contrato de efeito equivalente. </w:t>
            </w:r>
            <w:r w:rsidRPr="00295D4D">
              <w:rPr>
                <w:rFonts w:ascii="Verdana" w:hAnsi="Verdana" w:cs="Arial"/>
                <w:b/>
                <w:sz w:val="18"/>
                <w:szCs w:val="18"/>
              </w:rPr>
              <w:t xml:space="preserve">Ademais, são consideradas operações de um mesmo investidor as vendas a descoberto e as aquisições de ações </w:t>
            </w:r>
            <w:r>
              <w:rPr>
                <w:rFonts w:ascii="Verdana" w:hAnsi="Verdana" w:cs="Arial"/>
                <w:b/>
                <w:sz w:val="18"/>
                <w:szCs w:val="18"/>
              </w:rPr>
              <w:t>ordinárias</w:t>
            </w:r>
            <w:r w:rsidRPr="00295D4D">
              <w:rPr>
                <w:rFonts w:ascii="Verdana" w:hAnsi="Verdana" w:cs="Arial"/>
                <w:b/>
                <w:sz w:val="18"/>
                <w:szCs w:val="18"/>
              </w:rPr>
              <w:t xml:space="preserve"> de emissão da Companhia realizadas em </w:t>
            </w:r>
            <w:r w:rsidRPr="00295D4D">
              <w:rPr>
                <w:rFonts w:ascii="Verdana" w:hAnsi="Verdana" w:cs="Arial"/>
                <w:b/>
                <w:sz w:val="18"/>
                <w:szCs w:val="18"/>
              </w:rPr>
              <w:lastRenderedPageBreak/>
              <w:t xml:space="preserve">seu próprio nome ou por meio de qualquer veículo cuja decisão de investimento esteja sujeita à sua influência. Fundos de Investimento cujas decisões de investimento sejam tomadas pelo mesmo gestor não serão considerados um único investidor para efeito do disposto neste parágrafo, desde que as operações estejam enquadradas nas respectivas políticas de investimento de cada fundo. A vedação prevista neste parágrafo não se aplica nos seguintes casos: (i) operações realizadas por pessoas jurídicas no exercício da atividade de formador de mercado de ações </w:t>
            </w:r>
            <w:r>
              <w:rPr>
                <w:rFonts w:ascii="Verdana" w:hAnsi="Verdana" w:cs="Arial"/>
                <w:b/>
                <w:sz w:val="18"/>
                <w:szCs w:val="18"/>
              </w:rPr>
              <w:t>ordinárias</w:t>
            </w:r>
            <w:r w:rsidRPr="00295D4D">
              <w:rPr>
                <w:rFonts w:ascii="Verdana" w:hAnsi="Verdana" w:cs="Arial"/>
                <w:b/>
                <w:sz w:val="18"/>
                <w:szCs w:val="18"/>
              </w:rPr>
              <w:t xml:space="preserve"> de emissão da Companhia, conforme definida na norma específica; e (</w:t>
            </w:r>
            <w:proofErr w:type="spellStart"/>
            <w:r w:rsidRPr="00295D4D">
              <w:rPr>
                <w:rFonts w:ascii="Verdana" w:hAnsi="Verdana" w:cs="Arial"/>
                <w:b/>
                <w:sz w:val="18"/>
                <w:szCs w:val="18"/>
              </w:rPr>
              <w:t>ii</w:t>
            </w:r>
            <w:proofErr w:type="spellEnd"/>
            <w:r w:rsidRPr="00295D4D">
              <w:rPr>
                <w:rFonts w:ascii="Verdana" w:hAnsi="Verdana" w:cs="Arial"/>
                <w:b/>
                <w:sz w:val="18"/>
                <w:szCs w:val="18"/>
              </w:rPr>
              <w:t xml:space="preserve">) operações posteriormente cobertas por aquisição em mercado da quantidade total de ações </w:t>
            </w:r>
            <w:r>
              <w:rPr>
                <w:rFonts w:ascii="Verdana" w:hAnsi="Verdana" w:cs="Arial"/>
                <w:b/>
                <w:sz w:val="18"/>
                <w:szCs w:val="18"/>
              </w:rPr>
              <w:t>ordinárias</w:t>
            </w:r>
            <w:r w:rsidRPr="00295D4D">
              <w:rPr>
                <w:rFonts w:ascii="Verdana" w:hAnsi="Verdana" w:cs="Arial"/>
                <w:b/>
                <w:sz w:val="18"/>
                <w:szCs w:val="18"/>
              </w:rPr>
              <w:t xml:space="preserve"> de emissão da Companhia correspondente à posição a descoberto até, no máximo, dois pregões antes da data da RCA da Aprovação.</w:t>
            </w:r>
          </w:p>
        </w:tc>
        <w:tc>
          <w:tcPr>
            <w:tcW w:w="5168" w:type="dxa"/>
          </w:tcPr>
          <w:p w14:paraId="7B074960" w14:textId="3D21D82A" w:rsidR="00D81D3D" w:rsidRPr="00295D4D" w:rsidRDefault="00D81D3D" w:rsidP="00D81D3D">
            <w:pPr>
              <w:pStyle w:val="Recuodecorpodetexto"/>
              <w:tabs>
                <w:tab w:val="left" w:pos="817"/>
              </w:tabs>
              <w:spacing w:after="0" w:line="320" w:lineRule="exact"/>
              <w:ind w:left="0"/>
              <w:jc w:val="both"/>
              <w:rPr>
                <w:rFonts w:ascii="Verdana" w:hAnsi="Verdana" w:cs="Arial"/>
                <w:b/>
                <w:sz w:val="18"/>
                <w:szCs w:val="18"/>
                <w:lang w:val="en-US"/>
              </w:rPr>
            </w:pPr>
            <w:r w:rsidRPr="00295D4D">
              <w:rPr>
                <w:rFonts w:ascii="Verdana" w:hAnsi="Verdana" w:cs="Arial"/>
                <w:b/>
                <w:sz w:val="18"/>
                <w:szCs w:val="18"/>
                <w:lang w:val="en-US"/>
              </w:rPr>
              <w:lastRenderedPageBreak/>
              <w:t xml:space="preserve">4. In accordance with article 63 of CVM Resolution 160, the subscription of Shares by investors who have effected short sales of </w:t>
            </w:r>
            <w:r>
              <w:rPr>
                <w:rFonts w:ascii="Verdana" w:hAnsi="Verdana" w:cs="Arial"/>
                <w:b/>
                <w:sz w:val="18"/>
                <w:szCs w:val="18"/>
                <w:lang w:val="en-US"/>
              </w:rPr>
              <w:t>common</w:t>
            </w:r>
            <w:r w:rsidRPr="00295D4D">
              <w:rPr>
                <w:rFonts w:ascii="Verdana" w:hAnsi="Verdana" w:cs="Arial"/>
                <w:b/>
                <w:sz w:val="18"/>
                <w:szCs w:val="18"/>
                <w:lang w:val="en-US"/>
              </w:rPr>
              <w:t xml:space="preserve"> shares issued by the Company on the date of the Approval </w:t>
            </w:r>
            <w:proofErr w:type="spellStart"/>
            <w:r w:rsidRPr="00295D4D">
              <w:rPr>
                <w:rFonts w:ascii="Verdana" w:hAnsi="Verdana" w:cs="Arial"/>
                <w:b/>
                <w:sz w:val="18"/>
                <w:szCs w:val="18"/>
                <w:lang w:val="en-US"/>
              </w:rPr>
              <w:t>BoD</w:t>
            </w:r>
            <w:proofErr w:type="spellEnd"/>
            <w:r w:rsidRPr="00295D4D">
              <w:rPr>
                <w:rFonts w:ascii="Verdana" w:hAnsi="Verdana" w:cs="Arial"/>
                <w:b/>
                <w:sz w:val="18"/>
                <w:szCs w:val="18"/>
                <w:lang w:val="en-US"/>
              </w:rPr>
              <w:t xml:space="preserve"> and in the five trading sessions that preceded it is hereby prohibited. Short sales are considered those made by investors who are not holders of the Company's </w:t>
            </w:r>
            <w:r>
              <w:rPr>
                <w:rFonts w:ascii="Verdana" w:hAnsi="Verdana" w:cs="Arial"/>
                <w:b/>
                <w:sz w:val="18"/>
                <w:szCs w:val="18"/>
                <w:lang w:val="en-US"/>
              </w:rPr>
              <w:t>common</w:t>
            </w:r>
            <w:r w:rsidRPr="00295D4D">
              <w:rPr>
                <w:rFonts w:ascii="Verdana" w:hAnsi="Verdana" w:cs="Arial"/>
                <w:b/>
                <w:sz w:val="18"/>
                <w:szCs w:val="18"/>
                <w:lang w:val="en-US"/>
              </w:rPr>
              <w:t xml:space="preserve"> shares, or whose ownership results from a loan or other equivalent contractual agreement. Furthermore, short sales and acquisitions of </w:t>
            </w:r>
            <w:r>
              <w:rPr>
                <w:rFonts w:ascii="Verdana" w:hAnsi="Verdana" w:cs="Arial"/>
                <w:b/>
                <w:sz w:val="18"/>
                <w:szCs w:val="18"/>
                <w:lang w:val="en-US"/>
              </w:rPr>
              <w:t>common</w:t>
            </w:r>
            <w:r w:rsidRPr="00295D4D">
              <w:rPr>
                <w:rFonts w:ascii="Verdana" w:hAnsi="Verdana" w:cs="Arial"/>
                <w:b/>
                <w:sz w:val="18"/>
                <w:szCs w:val="18"/>
                <w:lang w:val="en-US"/>
              </w:rPr>
              <w:t xml:space="preserve"> shares issued by the Company are performed in their own name or by any vehicle where the investment decision is </w:t>
            </w:r>
            <w:r w:rsidRPr="00295D4D">
              <w:rPr>
                <w:rFonts w:ascii="Verdana" w:hAnsi="Verdana" w:cs="Arial"/>
                <w:b/>
                <w:sz w:val="18"/>
                <w:szCs w:val="18"/>
                <w:lang w:val="en-US"/>
              </w:rPr>
              <w:lastRenderedPageBreak/>
              <w:t>subject to their influence. Investment funds whose investment decisions are taken by the same manager will not be considered a single investor for the purpose of this paragraph, provided that the transactions concerned fall within the respective investment policies of each fund. The prohibition provided for in this paragraph will not apply in the following cases: (</w:t>
            </w:r>
            <w:proofErr w:type="spellStart"/>
            <w:r w:rsidRPr="00295D4D">
              <w:rPr>
                <w:rFonts w:ascii="Verdana" w:hAnsi="Verdana" w:cs="Arial"/>
                <w:b/>
                <w:sz w:val="18"/>
                <w:szCs w:val="18"/>
                <w:lang w:val="en-US"/>
              </w:rPr>
              <w:t>i</w:t>
            </w:r>
            <w:proofErr w:type="spellEnd"/>
            <w:r w:rsidRPr="00295D4D">
              <w:rPr>
                <w:rFonts w:ascii="Verdana" w:hAnsi="Verdana" w:cs="Arial"/>
                <w:b/>
                <w:sz w:val="18"/>
                <w:szCs w:val="18"/>
                <w:lang w:val="en-US"/>
              </w:rPr>
              <w:t>)</w:t>
            </w:r>
            <w:r>
              <w:rPr>
                <w:rFonts w:ascii="Verdana" w:hAnsi="Verdana" w:cs="Arial"/>
                <w:b/>
                <w:sz w:val="18"/>
                <w:szCs w:val="18"/>
                <w:lang w:val="en-US"/>
              </w:rPr>
              <w:t> </w:t>
            </w:r>
            <w:r w:rsidRPr="00295D4D">
              <w:rPr>
                <w:rFonts w:ascii="Verdana" w:hAnsi="Verdana" w:cs="Arial"/>
                <w:b/>
                <w:sz w:val="18"/>
                <w:szCs w:val="18"/>
                <w:lang w:val="en-US"/>
              </w:rPr>
              <w:t xml:space="preserve">transactions effected by legal entities in the exercise of the activity of market maker for the </w:t>
            </w:r>
            <w:r>
              <w:rPr>
                <w:rFonts w:ascii="Verdana" w:hAnsi="Verdana" w:cs="Arial"/>
                <w:b/>
                <w:sz w:val="18"/>
                <w:szCs w:val="18"/>
                <w:lang w:val="en-US"/>
              </w:rPr>
              <w:t>common</w:t>
            </w:r>
            <w:r w:rsidRPr="00295D4D">
              <w:rPr>
                <w:rFonts w:ascii="Verdana" w:hAnsi="Verdana" w:cs="Arial"/>
                <w:b/>
                <w:sz w:val="18"/>
                <w:szCs w:val="18"/>
                <w:lang w:val="en-US"/>
              </w:rPr>
              <w:t xml:space="preserve"> shares issued by the Company, as defined in the specific standard; and (ii)</w:t>
            </w:r>
            <w:r>
              <w:rPr>
                <w:rFonts w:ascii="Verdana" w:hAnsi="Verdana" w:cs="Arial"/>
                <w:b/>
                <w:sz w:val="18"/>
                <w:szCs w:val="18"/>
                <w:lang w:val="en-US"/>
              </w:rPr>
              <w:t> </w:t>
            </w:r>
            <w:r w:rsidRPr="00295D4D">
              <w:rPr>
                <w:rFonts w:ascii="Verdana" w:hAnsi="Verdana" w:cs="Arial"/>
                <w:b/>
                <w:sz w:val="18"/>
                <w:szCs w:val="18"/>
                <w:lang w:val="en-US"/>
              </w:rPr>
              <w:t xml:space="preserve">transactions subsequently covered by the acquisition in the market of the total number of </w:t>
            </w:r>
            <w:r>
              <w:rPr>
                <w:rFonts w:ascii="Verdana" w:hAnsi="Verdana" w:cs="Arial"/>
                <w:b/>
                <w:sz w:val="18"/>
                <w:szCs w:val="18"/>
                <w:lang w:val="en-US"/>
              </w:rPr>
              <w:t>common</w:t>
            </w:r>
            <w:r w:rsidRPr="00295D4D">
              <w:rPr>
                <w:rFonts w:ascii="Verdana" w:hAnsi="Verdana" w:cs="Arial"/>
                <w:b/>
                <w:sz w:val="18"/>
                <w:szCs w:val="18"/>
                <w:lang w:val="en-US"/>
              </w:rPr>
              <w:t xml:space="preserve"> shares issued by the Company corresponding to the short position up to a maximum of two trading sessions prior to the date of the Approval </w:t>
            </w:r>
            <w:proofErr w:type="spellStart"/>
            <w:r w:rsidRPr="00295D4D">
              <w:rPr>
                <w:rFonts w:ascii="Verdana" w:hAnsi="Verdana" w:cs="Arial"/>
                <w:b/>
                <w:sz w:val="18"/>
                <w:szCs w:val="18"/>
                <w:lang w:val="en-US"/>
              </w:rPr>
              <w:t>BoD</w:t>
            </w:r>
            <w:proofErr w:type="spellEnd"/>
            <w:r w:rsidRPr="00295D4D">
              <w:rPr>
                <w:rFonts w:ascii="Verdana" w:hAnsi="Verdana" w:cs="Arial"/>
                <w:b/>
                <w:sz w:val="18"/>
                <w:szCs w:val="18"/>
                <w:lang w:val="en-US"/>
              </w:rPr>
              <w:t xml:space="preserve">. </w:t>
            </w:r>
          </w:p>
        </w:tc>
      </w:tr>
      <w:tr w:rsidR="00D81D3D" w:rsidRPr="00016DC5" w14:paraId="43992D7A" w14:textId="77777777" w:rsidTr="00BE12AD">
        <w:trPr>
          <w:trHeight w:val="20"/>
          <w:jc w:val="center"/>
        </w:trPr>
        <w:tc>
          <w:tcPr>
            <w:tcW w:w="5382" w:type="dxa"/>
          </w:tcPr>
          <w:p w14:paraId="754C5945" w14:textId="77777777" w:rsidR="00D81D3D" w:rsidRPr="00295D4D" w:rsidRDefault="00D81D3D" w:rsidP="00D81D3D">
            <w:pPr>
              <w:pStyle w:val="Recuodecorpodetexto"/>
              <w:tabs>
                <w:tab w:val="left" w:pos="817"/>
              </w:tabs>
              <w:spacing w:after="0" w:line="320" w:lineRule="exact"/>
              <w:ind w:left="0"/>
              <w:rPr>
                <w:rFonts w:ascii="Verdana" w:hAnsi="Verdana" w:cs="Arial"/>
                <w:sz w:val="18"/>
                <w:szCs w:val="18"/>
                <w:lang w:val="en-US"/>
              </w:rPr>
            </w:pPr>
          </w:p>
        </w:tc>
        <w:tc>
          <w:tcPr>
            <w:tcW w:w="5168" w:type="dxa"/>
          </w:tcPr>
          <w:p w14:paraId="0D0994AB" w14:textId="77777777" w:rsidR="00D81D3D" w:rsidRPr="00295D4D" w:rsidRDefault="00D81D3D" w:rsidP="00D81D3D">
            <w:pPr>
              <w:pStyle w:val="Recuodecorpodetexto"/>
              <w:tabs>
                <w:tab w:val="left" w:pos="817"/>
              </w:tabs>
              <w:spacing w:after="0" w:line="320" w:lineRule="exact"/>
              <w:ind w:left="0"/>
              <w:rPr>
                <w:rFonts w:ascii="Verdana" w:hAnsi="Verdana" w:cs="Arial"/>
                <w:sz w:val="18"/>
                <w:szCs w:val="18"/>
                <w:lang w:val="en-US"/>
              </w:rPr>
            </w:pPr>
          </w:p>
        </w:tc>
      </w:tr>
      <w:tr w:rsidR="00D81D3D" w:rsidRPr="00016DC5" w14:paraId="24C0B4CC" w14:textId="77777777" w:rsidTr="00BE12AD">
        <w:trPr>
          <w:trHeight w:val="20"/>
          <w:jc w:val="center"/>
        </w:trPr>
        <w:tc>
          <w:tcPr>
            <w:tcW w:w="5382" w:type="dxa"/>
          </w:tcPr>
          <w:p w14:paraId="6672747D" w14:textId="556BCAC6" w:rsidR="00D81D3D" w:rsidRPr="00295D4D" w:rsidRDefault="00D81D3D" w:rsidP="00D81D3D">
            <w:pPr>
              <w:pStyle w:val="Recuodecorpodetexto"/>
              <w:tabs>
                <w:tab w:val="left" w:pos="817"/>
              </w:tabs>
              <w:spacing w:after="0" w:line="320" w:lineRule="exact"/>
              <w:ind w:left="0"/>
              <w:jc w:val="both"/>
              <w:rPr>
                <w:rFonts w:ascii="Verdana" w:hAnsi="Verdana" w:cs="Arial"/>
                <w:sz w:val="18"/>
                <w:szCs w:val="18"/>
              </w:rPr>
            </w:pPr>
            <w:r w:rsidRPr="00295D4D">
              <w:rPr>
                <w:rFonts w:ascii="Verdana" w:hAnsi="Verdana" w:cs="Arial"/>
                <w:b/>
                <w:sz w:val="18"/>
                <w:szCs w:val="18"/>
              </w:rPr>
              <w:t>5.</w:t>
            </w:r>
            <w:r w:rsidRPr="00295D4D">
              <w:rPr>
                <w:rFonts w:ascii="Verdana" w:hAnsi="Verdana" w:cs="Arial"/>
                <w:sz w:val="18"/>
                <w:szCs w:val="18"/>
              </w:rPr>
              <w:tab/>
              <w:t>A integralização das Ações será realizada à vista, em moeda corrente nacional.</w:t>
            </w:r>
          </w:p>
        </w:tc>
        <w:tc>
          <w:tcPr>
            <w:tcW w:w="5168" w:type="dxa"/>
          </w:tcPr>
          <w:p w14:paraId="4FEBD113" w14:textId="234EFC14" w:rsidR="00D81D3D" w:rsidRPr="00295D4D" w:rsidRDefault="00D81D3D" w:rsidP="00D81D3D">
            <w:pPr>
              <w:pStyle w:val="Recuodecorpodetexto"/>
              <w:tabs>
                <w:tab w:val="left" w:pos="817"/>
              </w:tabs>
              <w:spacing w:after="0" w:line="320" w:lineRule="exact"/>
              <w:ind w:left="0"/>
              <w:jc w:val="both"/>
              <w:rPr>
                <w:rFonts w:ascii="Verdana" w:hAnsi="Verdana" w:cs="Arial"/>
                <w:sz w:val="18"/>
                <w:szCs w:val="18"/>
                <w:lang w:val="en-US"/>
              </w:rPr>
            </w:pPr>
            <w:r w:rsidRPr="00295D4D">
              <w:rPr>
                <w:rFonts w:ascii="Verdana" w:hAnsi="Verdana" w:cs="Arial"/>
                <w:b/>
                <w:sz w:val="18"/>
                <w:szCs w:val="18"/>
                <w:lang w:val="en-US"/>
              </w:rPr>
              <w:t>5.</w:t>
            </w:r>
            <w:r w:rsidRPr="00295D4D">
              <w:rPr>
                <w:rFonts w:ascii="Verdana" w:hAnsi="Verdana" w:cs="Arial"/>
                <w:sz w:val="18"/>
                <w:szCs w:val="18"/>
                <w:lang w:val="en-US"/>
              </w:rPr>
              <w:t xml:space="preserve"> Payment of the shares will be made in cash, in Brazilian currency.</w:t>
            </w:r>
          </w:p>
        </w:tc>
      </w:tr>
      <w:tr w:rsidR="00D81D3D" w:rsidRPr="00016DC5" w14:paraId="3B1AD34A" w14:textId="77777777" w:rsidTr="00BE12AD">
        <w:trPr>
          <w:trHeight w:val="20"/>
          <w:jc w:val="center"/>
        </w:trPr>
        <w:tc>
          <w:tcPr>
            <w:tcW w:w="5382" w:type="dxa"/>
          </w:tcPr>
          <w:p w14:paraId="0FE4C95C" w14:textId="77777777" w:rsidR="00D81D3D" w:rsidRPr="00295D4D" w:rsidRDefault="00D81D3D" w:rsidP="00D81D3D">
            <w:pPr>
              <w:pStyle w:val="Recuodecorpodetexto"/>
              <w:tabs>
                <w:tab w:val="left" w:pos="817"/>
              </w:tabs>
              <w:spacing w:after="0" w:line="320" w:lineRule="exact"/>
              <w:ind w:left="0"/>
              <w:jc w:val="both"/>
              <w:rPr>
                <w:rFonts w:ascii="Verdana" w:hAnsi="Verdana" w:cs="Arial"/>
                <w:sz w:val="18"/>
                <w:szCs w:val="18"/>
                <w:lang w:val="en-US"/>
              </w:rPr>
            </w:pPr>
          </w:p>
        </w:tc>
        <w:tc>
          <w:tcPr>
            <w:tcW w:w="5168" w:type="dxa"/>
          </w:tcPr>
          <w:p w14:paraId="570D7A54" w14:textId="77777777" w:rsidR="00D81D3D" w:rsidRPr="00295D4D" w:rsidRDefault="00D81D3D" w:rsidP="00D81D3D">
            <w:pPr>
              <w:pStyle w:val="Recuodecorpodetexto"/>
              <w:tabs>
                <w:tab w:val="left" w:pos="817"/>
              </w:tabs>
              <w:spacing w:after="0" w:line="320" w:lineRule="exact"/>
              <w:ind w:left="0"/>
              <w:jc w:val="both"/>
              <w:rPr>
                <w:rFonts w:ascii="Verdana" w:hAnsi="Verdana" w:cs="Arial"/>
                <w:sz w:val="18"/>
                <w:szCs w:val="18"/>
                <w:lang w:val="en-US"/>
              </w:rPr>
            </w:pPr>
          </w:p>
        </w:tc>
      </w:tr>
      <w:tr w:rsidR="00D81D3D" w:rsidRPr="00016DC5" w14:paraId="43E9ED34" w14:textId="77777777" w:rsidTr="00BE12AD">
        <w:trPr>
          <w:trHeight w:val="20"/>
          <w:jc w:val="center"/>
        </w:trPr>
        <w:tc>
          <w:tcPr>
            <w:tcW w:w="5382" w:type="dxa"/>
          </w:tcPr>
          <w:p w14:paraId="0F289182" w14:textId="00231D2E" w:rsidR="00D81D3D" w:rsidRPr="00295D4D" w:rsidRDefault="00D81D3D" w:rsidP="00D81D3D">
            <w:pPr>
              <w:pStyle w:val="Recuodecorpodetexto"/>
              <w:tabs>
                <w:tab w:val="left" w:pos="817"/>
              </w:tabs>
              <w:spacing w:after="0" w:line="320" w:lineRule="exact"/>
              <w:ind w:left="0"/>
              <w:jc w:val="both"/>
              <w:rPr>
                <w:rFonts w:ascii="Verdana" w:hAnsi="Verdana" w:cs="Arial"/>
                <w:sz w:val="18"/>
                <w:szCs w:val="18"/>
              </w:rPr>
            </w:pPr>
            <w:r w:rsidRPr="00295D4D">
              <w:rPr>
                <w:rFonts w:ascii="Verdana" w:hAnsi="Verdana" w:cs="Arial"/>
                <w:b/>
                <w:sz w:val="18"/>
                <w:szCs w:val="18"/>
              </w:rPr>
              <w:t>6.</w:t>
            </w:r>
            <w:r w:rsidRPr="00295D4D">
              <w:rPr>
                <w:rFonts w:ascii="Verdana" w:hAnsi="Verdana" w:cs="Arial"/>
                <w:sz w:val="18"/>
                <w:szCs w:val="18"/>
              </w:rPr>
              <w:tab/>
              <w:t>Este Pedido de Subscrição Prioritária é celebrado em caráter irrevogável e irretratável, obrigando as partes por si e por seus sucessores a qualquer título.</w:t>
            </w:r>
          </w:p>
        </w:tc>
        <w:tc>
          <w:tcPr>
            <w:tcW w:w="5168" w:type="dxa"/>
          </w:tcPr>
          <w:p w14:paraId="2262D09D" w14:textId="5E23302C" w:rsidR="00D81D3D" w:rsidRPr="00295D4D" w:rsidRDefault="00D81D3D" w:rsidP="00D81D3D">
            <w:pPr>
              <w:pStyle w:val="Recuodecorpodetexto"/>
              <w:tabs>
                <w:tab w:val="left" w:pos="817"/>
              </w:tabs>
              <w:spacing w:after="0" w:line="320" w:lineRule="exact"/>
              <w:ind w:left="0"/>
              <w:jc w:val="both"/>
              <w:rPr>
                <w:rFonts w:ascii="Verdana" w:hAnsi="Verdana" w:cs="Arial"/>
                <w:b/>
                <w:sz w:val="18"/>
                <w:szCs w:val="18"/>
                <w:lang w:val="en-US"/>
              </w:rPr>
            </w:pPr>
            <w:r w:rsidRPr="00295D4D">
              <w:rPr>
                <w:rFonts w:ascii="Verdana" w:hAnsi="Verdana" w:cs="Arial"/>
                <w:b/>
                <w:sz w:val="18"/>
                <w:szCs w:val="18"/>
                <w:lang w:val="en-US"/>
              </w:rPr>
              <w:t xml:space="preserve">6. </w:t>
            </w:r>
            <w:r w:rsidRPr="00295D4D">
              <w:rPr>
                <w:rFonts w:ascii="Verdana" w:hAnsi="Verdana" w:cs="Arial"/>
                <w:sz w:val="18"/>
                <w:szCs w:val="18"/>
                <w:lang w:val="en-US"/>
              </w:rPr>
              <w:t>This Priority Subscription Order is signed and agreed upon in an irrevocable and irreversible condition, binding the parties themselves and their successors under any title.</w:t>
            </w:r>
          </w:p>
        </w:tc>
      </w:tr>
      <w:tr w:rsidR="00D81D3D" w:rsidRPr="00016DC5" w14:paraId="54F2960A" w14:textId="77777777" w:rsidTr="00BE12AD">
        <w:trPr>
          <w:trHeight w:val="20"/>
          <w:jc w:val="center"/>
        </w:trPr>
        <w:tc>
          <w:tcPr>
            <w:tcW w:w="5382" w:type="dxa"/>
          </w:tcPr>
          <w:p w14:paraId="003DB963" w14:textId="77777777" w:rsidR="00D81D3D" w:rsidRPr="00295D4D" w:rsidRDefault="00D81D3D" w:rsidP="00D81D3D">
            <w:pPr>
              <w:pStyle w:val="Recuodecorpodetexto"/>
              <w:tabs>
                <w:tab w:val="left" w:pos="817"/>
              </w:tabs>
              <w:spacing w:after="0" w:line="320" w:lineRule="exact"/>
              <w:ind w:left="0"/>
              <w:jc w:val="both"/>
              <w:rPr>
                <w:rFonts w:ascii="Verdana" w:hAnsi="Verdana" w:cs="Arial"/>
                <w:sz w:val="18"/>
                <w:szCs w:val="18"/>
                <w:lang w:val="en-US"/>
              </w:rPr>
            </w:pPr>
          </w:p>
        </w:tc>
        <w:tc>
          <w:tcPr>
            <w:tcW w:w="5168" w:type="dxa"/>
          </w:tcPr>
          <w:p w14:paraId="5AFDC81B" w14:textId="77777777" w:rsidR="00D81D3D" w:rsidRPr="00295D4D" w:rsidRDefault="00D81D3D" w:rsidP="00D81D3D">
            <w:pPr>
              <w:pStyle w:val="Recuodecorpodetexto"/>
              <w:tabs>
                <w:tab w:val="left" w:pos="817"/>
              </w:tabs>
              <w:spacing w:after="0" w:line="320" w:lineRule="exact"/>
              <w:ind w:left="0"/>
              <w:jc w:val="both"/>
              <w:rPr>
                <w:rFonts w:ascii="Verdana" w:hAnsi="Verdana" w:cs="Arial"/>
                <w:sz w:val="18"/>
                <w:szCs w:val="18"/>
                <w:lang w:val="en-US"/>
              </w:rPr>
            </w:pPr>
          </w:p>
        </w:tc>
      </w:tr>
      <w:tr w:rsidR="00D81D3D" w:rsidRPr="00016DC5" w14:paraId="2B9831A3" w14:textId="77777777" w:rsidTr="00BE12AD">
        <w:trPr>
          <w:trHeight w:val="20"/>
          <w:jc w:val="center"/>
        </w:trPr>
        <w:tc>
          <w:tcPr>
            <w:tcW w:w="5382" w:type="dxa"/>
          </w:tcPr>
          <w:p w14:paraId="7972EAE0" w14:textId="06FBE640" w:rsidR="00D81D3D" w:rsidRPr="00295D4D" w:rsidRDefault="00D81D3D" w:rsidP="00D81D3D">
            <w:pPr>
              <w:pStyle w:val="Recuodecorpodetexto"/>
              <w:tabs>
                <w:tab w:val="left" w:pos="817"/>
              </w:tabs>
              <w:spacing w:after="0" w:line="320" w:lineRule="exact"/>
              <w:ind w:left="0"/>
              <w:jc w:val="both"/>
              <w:rPr>
                <w:rFonts w:ascii="Verdana" w:hAnsi="Verdana" w:cs="Arial"/>
                <w:sz w:val="18"/>
                <w:szCs w:val="18"/>
              </w:rPr>
            </w:pPr>
            <w:r w:rsidRPr="00295D4D">
              <w:rPr>
                <w:rFonts w:ascii="Verdana" w:hAnsi="Verdana" w:cs="Arial"/>
                <w:b/>
                <w:sz w:val="18"/>
                <w:szCs w:val="18"/>
              </w:rPr>
              <w:t>7.</w:t>
            </w:r>
            <w:r w:rsidRPr="00295D4D">
              <w:rPr>
                <w:rFonts w:ascii="Verdana" w:hAnsi="Verdana" w:cs="Arial"/>
                <w:sz w:val="18"/>
                <w:szCs w:val="18"/>
              </w:rPr>
              <w:tab/>
              <w:t xml:space="preserve">Fica a </w:t>
            </w:r>
            <w:r w:rsidRPr="00295D4D">
              <w:rPr>
                <w:rFonts w:ascii="Verdana" w:hAnsi="Verdana" w:cs="Arial"/>
                <w:color w:val="000000"/>
                <w:sz w:val="18"/>
                <w:szCs w:val="18"/>
              </w:rPr>
              <w:t>Itaú Corretora de Valores S.A.</w:t>
            </w:r>
            <w:r w:rsidRPr="00295D4D">
              <w:rPr>
                <w:rFonts w:ascii="Verdana" w:hAnsi="Verdana" w:cs="Arial"/>
                <w:sz w:val="18"/>
                <w:szCs w:val="18"/>
              </w:rPr>
              <w:t xml:space="preserve">, instituição financeira contratada para a prestação de serviços de escrituração das Ações, autorizada a registrar </w:t>
            </w:r>
            <w:smartTag w:uri="urn:schemas-microsoft-com:office:smarttags" w:element="metricconverter">
              <w:smartTagPr>
                <w:attr w:name="ProductID" w:val="em nome do SUBSCRITOR"/>
              </w:smartTagPr>
              <w:r w:rsidRPr="00295D4D">
                <w:rPr>
                  <w:rFonts w:ascii="Verdana" w:hAnsi="Verdana" w:cs="Arial"/>
                  <w:sz w:val="18"/>
                  <w:szCs w:val="18"/>
                </w:rPr>
                <w:t>em nome do SUBSCRITOR</w:t>
              </w:r>
            </w:smartTag>
            <w:r w:rsidRPr="00295D4D">
              <w:rPr>
                <w:rFonts w:ascii="Verdana" w:hAnsi="Verdana" w:cs="Arial"/>
                <w:sz w:val="18"/>
                <w:szCs w:val="18"/>
              </w:rPr>
              <w:t xml:space="preserve"> a quantidade de Ações objeto do presente Pedido de Subscrição Prioritária identificada no campo 25 acima.</w:t>
            </w:r>
          </w:p>
        </w:tc>
        <w:tc>
          <w:tcPr>
            <w:tcW w:w="5168" w:type="dxa"/>
          </w:tcPr>
          <w:p w14:paraId="48A98D22" w14:textId="08BCD415" w:rsidR="00D81D3D" w:rsidRPr="00295D4D" w:rsidRDefault="00D81D3D" w:rsidP="00D81D3D">
            <w:pPr>
              <w:pStyle w:val="Recuodecorpodetexto"/>
              <w:tabs>
                <w:tab w:val="left" w:pos="817"/>
              </w:tabs>
              <w:spacing w:after="0" w:line="320" w:lineRule="exact"/>
              <w:ind w:left="0"/>
              <w:jc w:val="both"/>
              <w:rPr>
                <w:rFonts w:ascii="Verdana" w:hAnsi="Verdana" w:cs="Arial"/>
                <w:b/>
                <w:sz w:val="18"/>
                <w:szCs w:val="18"/>
                <w:lang w:val="en-US"/>
              </w:rPr>
            </w:pPr>
            <w:r w:rsidRPr="00295D4D">
              <w:rPr>
                <w:rFonts w:ascii="Verdana" w:hAnsi="Verdana" w:cs="Arial"/>
                <w:b/>
                <w:sz w:val="18"/>
                <w:szCs w:val="18"/>
                <w:lang w:val="en-US"/>
              </w:rPr>
              <w:t xml:space="preserve">7. </w:t>
            </w:r>
            <w:r w:rsidRPr="00295D4D">
              <w:rPr>
                <w:rFonts w:ascii="Verdana" w:hAnsi="Verdana" w:cs="Arial"/>
                <w:color w:val="000000"/>
                <w:sz w:val="18"/>
                <w:szCs w:val="18"/>
                <w:lang w:val="en-US"/>
              </w:rPr>
              <w:t xml:space="preserve">Itaú </w:t>
            </w:r>
            <w:proofErr w:type="spellStart"/>
            <w:r w:rsidRPr="00295D4D">
              <w:rPr>
                <w:rFonts w:ascii="Verdana" w:hAnsi="Verdana" w:cs="Arial"/>
                <w:color w:val="000000"/>
                <w:sz w:val="18"/>
                <w:szCs w:val="18"/>
                <w:lang w:val="en-US"/>
              </w:rPr>
              <w:t>Corretora</w:t>
            </w:r>
            <w:proofErr w:type="spellEnd"/>
            <w:r w:rsidRPr="00295D4D">
              <w:rPr>
                <w:rFonts w:ascii="Verdana" w:hAnsi="Verdana" w:cs="Arial"/>
                <w:color w:val="000000"/>
                <w:sz w:val="18"/>
                <w:szCs w:val="18"/>
                <w:lang w:val="en-US"/>
              </w:rPr>
              <w:t xml:space="preserve"> de Valores S.A.</w:t>
            </w:r>
            <w:r w:rsidRPr="00295D4D">
              <w:rPr>
                <w:rFonts w:ascii="Verdana" w:hAnsi="Verdana" w:cs="Arial"/>
                <w:sz w:val="18"/>
                <w:szCs w:val="18"/>
                <w:lang w:val="en-US"/>
              </w:rPr>
              <w:t>, a financial institution contracted to provide bookkeeping services for the Shares, is hereby authorized to register on behalf of the SUBSCRIBER the number of Shares subject to this Priority Subscription Order identified in field 25 above.</w:t>
            </w:r>
          </w:p>
        </w:tc>
      </w:tr>
      <w:tr w:rsidR="00D81D3D" w:rsidRPr="00016DC5" w14:paraId="12EA4D00" w14:textId="77777777" w:rsidTr="00BE12AD">
        <w:trPr>
          <w:trHeight w:val="20"/>
          <w:jc w:val="center"/>
        </w:trPr>
        <w:tc>
          <w:tcPr>
            <w:tcW w:w="5382" w:type="dxa"/>
          </w:tcPr>
          <w:p w14:paraId="08B4FD5B" w14:textId="77777777" w:rsidR="00D81D3D" w:rsidRPr="00295D4D" w:rsidRDefault="00D81D3D" w:rsidP="00D81D3D">
            <w:pPr>
              <w:pStyle w:val="Estilo3"/>
              <w:tabs>
                <w:tab w:val="left" w:pos="0"/>
                <w:tab w:val="left" w:pos="817"/>
              </w:tabs>
              <w:spacing w:after="0" w:line="320" w:lineRule="exact"/>
              <w:jc w:val="both"/>
              <w:rPr>
                <w:rFonts w:ascii="Verdana" w:hAnsi="Verdana" w:cs="Arial"/>
                <w:sz w:val="18"/>
                <w:szCs w:val="18"/>
                <w:lang w:val="en-US"/>
              </w:rPr>
            </w:pPr>
          </w:p>
        </w:tc>
        <w:tc>
          <w:tcPr>
            <w:tcW w:w="5168" w:type="dxa"/>
          </w:tcPr>
          <w:p w14:paraId="226835F2" w14:textId="77777777" w:rsidR="00D81D3D" w:rsidRPr="00295D4D" w:rsidRDefault="00D81D3D" w:rsidP="00D81D3D">
            <w:pPr>
              <w:pStyle w:val="Estilo3"/>
              <w:tabs>
                <w:tab w:val="left" w:pos="0"/>
                <w:tab w:val="left" w:pos="817"/>
              </w:tabs>
              <w:spacing w:after="0" w:line="320" w:lineRule="exact"/>
              <w:jc w:val="both"/>
              <w:rPr>
                <w:rFonts w:ascii="Verdana" w:hAnsi="Verdana" w:cs="Arial"/>
                <w:b/>
                <w:sz w:val="18"/>
                <w:szCs w:val="18"/>
                <w:lang w:val="en-US"/>
              </w:rPr>
            </w:pPr>
          </w:p>
        </w:tc>
      </w:tr>
      <w:tr w:rsidR="00D81D3D" w:rsidRPr="00016DC5" w14:paraId="66349D50" w14:textId="77777777" w:rsidTr="00BE12AD">
        <w:trPr>
          <w:trHeight w:val="20"/>
          <w:jc w:val="center"/>
        </w:trPr>
        <w:tc>
          <w:tcPr>
            <w:tcW w:w="5382" w:type="dxa"/>
          </w:tcPr>
          <w:p w14:paraId="4198A270" w14:textId="4F20F142" w:rsidR="00D81D3D" w:rsidRPr="00295D4D" w:rsidRDefault="00D81D3D" w:rsidP="00D81D3D">
            <w:pPr>
              <w:pStyle w:val="Recuodecorpodetexto"/>
              <w:tabs>
                <w:tab w:val="left" w:pos="817"/>
              </w:tabs>
              <w:spacing w:after="0" w:line="320" w:lineRule="exact"/>
              <w:ind w:left="0"/>
              <w:jc w:val="both"/>
              <w:rPr>
                <w:rFonts w:ascii="Verdana" w:hAnsi="Verdana" w:cs="Arial"/>
                <w:sz w:val="18"/>
                <w:szCs w:val="18"/>
              </w:rPr>
            </w:pPr>
            <w:r w:rsidRPr="00295D4D">
              <w:rPr>
                <w:rFonts w:ascii="Verdana" w:hAnsi="Verdana" w:cs="Arial"/>
                <w:b/>
                <w:sz w:val="18"/>
                <w:szCs w:val="18"/>
              </w:rPr>
              <w:t>8.</w:t>
            </w:r>
            <w:r w:rsidRPr="00295D4D">
              <w:rPr>
                <w:rFonts w:ascii="Verdana" w:hAnsi="Verdana" w:cs="Arial"/>
                <w:sz w:val="18"/>
                <w:szCs w:val="18"/>
              </w:rPr>
              <w:tab/>
              <w:t>O presente instrumento autoriza a transferência, pela B3, instituição prestadora de serviços de custódia das Ações, da quantidade de Ações objeto deste Pedido de Subscrição Prioritária indicada no campo 25 acima para uma conta de custódia do SUBSCRITOR mantida junto à B3.</w:t>
            </w:r>
          </w:p>
        </w:tc>
        <w:tc>
          <w:tcPr>
            <w:tcW w:w="5168" w:type="dxa"/>
          </w:tcPr>
          <w:p w14:paraId="179C6753" w14:textId="3DD463B1" w:rsidR="00D81D3D" w:rsidRPr="00295D4D" w:rsidRDefault="00D81D3D" w:rsidP="00D81D3D">
            <w:pPr>
              <w:pStyle w:val="Recuodecorpodetexto"/>
              <w:tabs>
                <w:tab w:val="left" w:pos="817"/>
              </w:tabs>
              <w:spacing w:after="0" w:line="320" w:lineRule="exact"/>
              <w:ind w:left="0"/>
              <w:jc w:val="both"/>
              <w:rPr>
                <w:rFonts w:ascii="Verdana" w:hAnsi="Verdana" w:cs="Arial"/>
                <w:b/>
                <w:sz w:val="18"/>
                <w:szCs w:val="18"/>
                <w:lang w:val="en-US"/>
              </w:rPr>
            </w:pPr>
            <w:r w:rsidRPr="00295D4D">
              <w:rPr>
                <w:rFonts w:ascii="Verdana" w:hAnsi="Verdana" w:cs="Arial"/>
                <w:b/>
                <w:sz w:val="18"/>
                <w:szCs w:val="18"/>
                <w:lang w:val="en-US"/>
              </w:rPr>
              <w:t xml:space="preserve">8. </w:t>
            </w:r>
            <w:r w:rsidRPr="00295D4D">
              <w:rPr>
                <w:rFonts w:ascii="Verdana" w:hAnsi="Verdana" w:cs="Arial"/>
                <w:sz w:val="18"/>
                <w:szCs w:val="18"/>
                <w:lang w:val="en-US"/>
              </w:rPr>
              <w:t>This contract authorizes the transfer by the B3, the institution providing custody services for the Shares, of the number of Shares subject to this Priority Subscription Order indicated in field 25 above to the SUBSCRIBER custody account maintained with the B3.</w:t>
            </w:r>
          </w:p>
        </w:tc>
      </w:tr>
      <w:tr w:rsidR="00D81D3D" w:rsidRPr="00016DC5" w14:paraId="05C2347E" w14:textId="77777777" w:rsidTr="00BE12AD">
        <w:trPr>
          <w:trHeight w:val="20"/>
          <w:jc w:val="center"/>
        </w:trPr>
        <w:tc>
          <w:tcPr>
            <w:tcW w:w="5382" w:type="dxa"/>
          </w:tcPr>
          <w:p w14:paraId="0B83EED1" w14:textId="77777777" w:rsidR="00D81D3D" w:rsidRPr="00295D4D" w:rsidRDefault="00D81D3D" w:rsidP="00D81D3D">
            <w:pPr>
              <w:pStyle w:val="Recuodecorpodetexto"/>
              <w:tabs>
                <w:tab w:val="left" w:pos="817"/>
              </w:tabs>
              <w:spacing w:after="0" w:line="320" w:lineRule="exact"/>
              <w:ind w:left="0"/>
              <w:jc w:val="both"/>
              <w:rPr>
                <w:rFonts w:ascii="Verdana" w:hAnsi="Verdana" w:cs="Arial"/>
                <w:sz w:val="18"/>
                <w:szCs w:val="18"/>
                <w:lang w:val="en-US"/>
              </w:rPr>
            </w:pPr>
          </w:p>
        </w:tc>
        <w:tc>
          <w:tcPr>
            <w:tcW w:w="5168" w:type="dxa"/>
          </w:tcPr>
          <w:p w14:paraId="5F6D78DA" w14:textId="77777777" w:rsidR="00D81D3D" w:rsidRPr="00295D4D" w:rsidRDefault="00D81D3D" w:rsidP="00D81D3D">
            <w:pPr>
              <w:pStyle w:val="Recuodecorpodetexto"/>
              <w:tabs>
                <w:tab w:val="left" w:pos="817"/>
              </w:tabs>
              <w:spacing w:after="0" w:line="320" w:lineRule="exact"/>
              <w:ind w:left="0"/>
              <w:jc w:val="both"/>
              <w:rPr>
                <w:rFonts w:ascii="Verdana" w:hAnsi="Verdana" w:cs="Arial"/>
                <w:b/>
                <w:sz w:val="18"/>
                <w:szCs w:val="18"/>
                <w:lang w:val="en-US"/>
              </w:rPr>
            </w:pPr>
          </w:p>
        </w:tc>
      </w:tr>
      <w:tr w:rsidR="00D81D3D" w:rsidRPr="00016DC5" w14:paraId="7C5FE43D" w14:textId="77777777" w:rsidTr="00BE12AD">
        <w:trPr>
          <w:trHeight w:val="20"/>
          <w:jc w:val="center"/>
        </w:trPr>
        <w:tc>
          <w:tcPr>
            <w:tcW w:w="5382" w:type="dxa"/>
          </w:tcPr>
          <w:p w14:paraId="06646B77" w14:textId="18015AAA" w:rsidR="00D81D3D" w:rsidRPr="00295D4D" w:rsidRDefault="00D81D3D" w:rsidP="00D81D3D">
            <w:pPr>
              <w:pStyle w:val="Recuodecorpodetexto"/>
              <w:tabs>
                <w:tab w:val="left" w:pos="817"/>
              </w:tabs>
              <w:spacing w:after="0" w:line="320" w:lineRule="exact"/>
              <w:ind w:left="0"/>
              <w:jc w:val="both"/>
              <w:rPr>
                <w:rFonts w:ascii="Verdana" w:hAnsi="Verdana" w:cs="Arial"/>
                <w:sz w:val="18"/>
                <w:szCs w:val="18"/>
              </w:rPr>
            </w:pPr>
            <w:r w:rsidRPr="00295D4D">
              <w:rPr>
                <w:rFonts w:ascii="Verdana" w:hAnsi="Verdana" w:cs="Arial"/>
                <w:b/>
                <w:sz w:val="18"/>
                <w:szCs w:val="18"/>
              </w:rPr>
              <w:lastRenderedPageBreak/>
              <w:t>9.</w:t>
            </w:r>
            <w:r w:rsidRPr="00295D4D">
              <w:rPr>
                <w:rFonts w:ascii="Verdana" w:hAnsi="Verdana" w:cs="Arial"/>
                <w:sz w:val="18"/>
                <w:szCs w:val="18"/>
              </w:rPr>
              <w:tab/>
              <w:t xml:space="preserve">O SUBSCRITOR declara ter conhecimento de que as Ações lhe serão entregues após as 16:00 (dezesseis horas) da Data de Liquidação. </w:t>
            </w:r>
          </w:p>
        </w:tc>
        <w:tc>
          <w:tcPr>
            <w:tcW w:w="5168" w:type="dxa"/>
          </w:tcPr>
          <w:p w14:paraId="557B75B8" w14:textId="06FFEBAD" w:rsidR="00D81D3D" w:rsidRPr="00295D4D" w:rsidRDefault="00D81D3D" w:rsidP="00D81D3D">
            <w:pPr>
              <w:pStyle w:val="Recuodecorpodetexto"/>
              <w:tabs>
                <w:tab w:val="left" w:pos="817"/>
              </w:tabs>
              <w:spacing w:after="0" w:line="320" w:lineRule="exact"/>
              <w:ind w:left="0"/>
              <w:jc w:val="both"/>
              <w:rPr>
                <w:rFonts w:ascii="Verdana" w:hAnsi="Verdana" w:cs="Arial"/>
                <w:b/>
                <w:sz w:val="18"/>
                <w:szCs w:val="18"/>
                <w:lang w:val="en-US"/>
              </w:rPr>
            </w:pPr>
            <w:r w:rsidRPr="00295D4D">
              <w:rPr>
                <w:rFonts w:ascii="Verdana" w:hAnsi="Verdana" w:cs="Arial"/>
                <w:b/>
                <w:sz w:val="18"/>
                <w:szCs w:val="18"/>
                <w:lang w:val="en-US"/>
              </w:rPr>
              <w:t xml:space="preserve">9. </w:t>
            </w:r>
            <w:r w:rsidRPr="00295D4D">
              <w:rPr>
                <w:rFonts w:ascii="Verdana" w:hAnsi="Verdana" w:cs="Arial"/>
                <w:sz w:val="18"/>
                <w:szCs w:val="18"/>
                <w:lang w:val="en-US"/>
              </w:rPr>
              <w:t>The SUBSCRIBER declares that it is aware that the Shares will be delivered after 4:00 PM (four o’clock in the afternoon) on the Settlement Date.</w:t>
            </w:r>
          </w:p>
        </w:tc>
      </w:tr>
      <w:tr w:rsidR="00D81D3D" w:rsidRPr="00016DC5" w14:paraId="316B1E79" w14:textId="77777777" w:rsidTr="00BE12AD">
        <w:trPr>
          <w:trHeight w:val="20"/>
          <w:jc w:val="center"/>
        </w:trPr>
        <w:tc>
          <w:tcPr>
            <w:tcW w:w="5382" w:type="dxa"/>
          </w:tcPr>
          <w:p w14:paraId="05C3F48C" w14:textId="77777777" w:rsidR="00D81D3D" w:rsidRPr="00295D4D" w:rsidRDefault="00D81D3D" w:rsidP="00D81D3D">
            <w:pPr>
              <w:pStyle w:val="Recuodecorpodetexto"/>
              <w:tabs>
                <w:tab w:val="left" w:pos="817"/>
              </w:tabs>
              <w:spacing w:after="0" w:line="320" w:lineRule="exact"/>
              <w:ind w:left="0"/>
              <w:jc w:val="both"/>
              <w:rPr>
                <w:rFonts w:ascii="Verdana" w:hAnsi="Verdana" w:cs="Arial"/>
                <w:sz w:val="18"/>
                <w:szCs w:val="18"/>
                <w:lang w:val="en-US"/>
              </w:rPr>
            </w:pPr>
          </w:p>
        </w:tc>
        <w:tc>
          <w:tcPr>
            <w:tcW w:w="5168" w:type="dxa"/>
          </w:tcPr>
          <w:p w14:paraId="4989400D" w14:textId="77777777" w:rsidR="00D81D3D" w:rsidRPr="00295D4D" w:rsidRDefault="00D81D3D" w:rsidP="00D81D3D">
            <w:pPr>
              <w:pStyle w:val="Recuodecorpodetexto"/>
              <w:tabs>
                <w:tab w:val="left" w:pos="817"/>
              </w:tabs>
              <w:spacing w:after="0" w:line="320" w:lineRule="exact"/>
              <w:ind w:left="0"/>
              <w:jc w:val="both"/>
              <w:rPr>
                <w:rFonts w:ascii="Verdana" w:hAnsi="Verdana" w:cs="Arial"/>
                <w:b/>
                <w:sz w:val="18"/>
                <w:szCs w:val="18"/>
                <w:lang w:val="en-US"/>
              </w:rPr>
            </w:pPr>
          </w:p>
        </w:tc>
      </w:tr>
      <w:tr w:rsidR="00D81D3D" w:rsidRPr="00016DC5" w14:paraId="1E03DAE0" w14:textId="77777777" w:rsidTr="00BE12AD">
        <w:trPr>
          <w:trHeight w:val="20"/>
          <w:jc w:val="center"/>
        </w:trPr>
        <w:tc>
          <w:tcPr>
            <w:tcW w:w="5382" w:type="dxa"/>
          </w:tcPr>
          <w:p w14:paraId="757CC313" w14:textId="054B8119" w:rsidR="00D81D3D" w:rsidRPr="00295D4D" w:rsidRDefault="00D81D3D" w:rsidP="00D81D3D">
            <w:pPr>
              <w:pStyle w:val="Recuodecorpodetexto"/>
              <w:tabs>
                <w:tab w:val="left" w:pos="817"/>
              </w:tabs>
              <w:spacing w:after="0" w:line="320" w:lineRule="exact"/>
              <w:ind w:left="0"/>
              <w:jc w:val="both"/>
              <w:rPr>
                <w:rFonts w:ascii="Verdana" w:hAnsi="Verdana" w:cs="Arial"/>
                <w:sz w:val="18"/>
                <w:szCs w:val="18"/>
              </w:rPr>
            </w:pPr>
            <w:r w:rsidRPr="00295D4D">
              <w:rPr>
                <w:rFonts w:ascii="Verdana" w:hAnsi="Verdana" w:cs="Arial"/>
                <w:b/>
                <w:sz w:val="18"/>
                <w:szCs w:val="18"/>
              </w:rPr>
              <w:t>10.</w:t>
            </w:r>
            <w:r w:rsidRPr="00295D4D">
              <w:rPr>
                <w:rFonts w:ascii="Verdana" w:hAnsi="Verdana" w:cs="Arial"/>
                <w:sz w:val="18"/>
                <w:szCs w:val="18"/>
              </w:rPr>
              <w:tab/>
              <w:t xml:space="preserve">Tendo recebido a quantidade de Ações indicada no campo 25 acima, </w:t>
            </w:r>
            <w:r>
              <w:rPr>
                <w:rFonts w:ascii="Verdana" w:hAnsi="Verdana" w:cs="Arial"/>
                <w:sz w:val="18"/>
                <w:szCs w:val="18"/>
              </w:rPr>
              <w:t xml:space="preserve">em formato de Cestas de Ações, </w:t>
            </w:r>
            <w:r w:rsidRPr="00295D4D">
              <w:rPr>
                <w:rFonts w:ascii="Verdana" w:hAnsi="Verdana" w:cs="Arial"/>
                <w:sz w:val="18"/>
                <w:szCs w:val="18"/>
              </w:rPr>
              <w:t>o SUBSCRITOR dá ao AGENTE DE CUSTÓDIA plena, geral e irrevogável quitação da respectiva entrega das Ações.</w:t>
            </w:r>
          </w:p>
        </w:tc>
        <w:tc>
          <w:tcPr>
            <w:tcW w:w="5168" w:type="dxa"/>
          </w:tcPr>
          <w:p w14:paraId="4E5495CE" w14:textId="43425B19" w:rsidR="00D81D3D" w:rsidRPr="00295D4D" w:rsidRDefault="00D81D3D" w:rsidP="00D81D3D">
            <w:pPr>
              <w:pStyle w:val="Recuodecorpodetexto"/>
              <w:tabs>
                <w:tab w:val="left" w:pos="817"/>
              </w:tabs>
              <w:spacing w:after="0" w:line="320" w:lineRule="exact"/>
              <w:ind w:left="0"/>
              <w:jc w:val="both"/>
              <w:rPr>
                <w:rFonts w:ascii="Verdana" w:hAnsi="Verdana" w:cs="Arial"/>
                <w:b/>
                <w:sz w:val="18"/>
                <w:szCs w:val="18"/>
                <w:lang w:val="en-US"/>
              </w:rPr>
            </w:pPr>
            <w:r w:rsidRPr="00295D4D">
              <w:rPr>
                <w:rFonts w:ascii="Verdana" w:hAnsi="Verdana" w:cs="Arial"/>
                <w:b/>
                <w:sz w:val="18"/>
                <w:szCs w:val="18"/>
                <w:lang w:val="en-US"/>
              </w:rPr>
              <w:t xml:space="preserve">10. </w:t>
            </w:r>
            <w:r w:rsidRPr="00295D4D">
              <w:rPr>
                <w:rFonts w:ascii="Verdana" w:hAnsi="Verdana" w:cs="Arial"/>
                <w:sz w:val="18"/>
                <w:szCs w:val="18"/>
                <w:lang w:val="en-US"/>
              </w:rPr>
              <w:t>Having received the number of Shares indicated in field 25 above,</w:t>
            </w:r>
            <w:r>
              <w:rPr>
                <w:rFonts w:ascii="Verdana" w:hAnsi="Verdana" w:cs="Arial"/>
                <w:sz w:val="18"/>
                <w:szCs w:val="18"/>
                <w:lang w:val="en-US"/>
              </w:rPr>
              <w:t xml:space="preserve"> in format of </w:t>
            </w:r>
            <w:r w:rsidR="00230CAA">
              <w:rPr>
                <w:rFonts w:ascii="Verdana" w:hAnsi="Verdana" w:cs="Arial"/>
                <w:sz w:val="18"/>
                <w:szCs w:val="18"/>
                <w:lang w:val="en-US"/>
              </w:rPr>
              <w:t>Baskets of Shares</w:t>
            </w:r>
            <w:r w:rsidRPr="00295D4D">
              <w:rPr>
                <w:rFonts w:ascii="Verdana" w:hAnsi="Verdana" w:cs="Arial"/>
                <w:sz w:val="18"/>
                <w:szCs w:val="18"/>
                <w:lang w:val="en-US"/>
              </w:rPr>
              <w:t xml:space="preserve"> the INVESTOR gives the CUSTODY AGENT full, general and irrevocable release of the respective delivery of the Shares.</w:t>
            </w:r>
          </w:p>
        </w:tc>
      </w:tr>
      <w:tr w:rsidR="00D81D3D" w:rsidRPr="00016DC5" w14:paraId="28ABA73A" w14:textId="77777777" w:rsidTr="00BE12AD">
        <w:trPr>
          <w:trHeight w:val="20"/>
          <w:jc w:val="center"/>
        </w:trPr>
        <w:tc>
          <w:tcPr>
            <w:tcW w:w="5382" w:type="dxa"/>
          </w:tcPr>
          <w:p w14:paraId="14F09174" w14:textId="77777777" w:rsidR="00D81D3D" w:rsidRPr="00295D4D" w:rsidRDefault="00D81D3D" w:rsidP="00D81D3D">
            <w:pPr>
              <w:pStyle w:val="Recuodecorpodetexto"/>
              <w:tabs>
                <w:tab w:val="left" w:pos="817"/>
              </w:tabs>
              <w:spacing w:after="0" w:line="320" w:lineRule="exact"/>
              <w:ind w:left="0"/>
              <w:jc w:val="both"/>
              <w:rPr>
                <w:rFonts w:ascii="Verdana" w:hAnsi="Verdana" w:cs="Arial"/>
                <w:sz w:val="18"/>
                <w:szCs w:val="18"/>
                <w:lang w:val="en-US"/>
              </w:rPr>
            </w:pPr>
          </w:p>
        </w:tc>
        <w:tc>
          <w:tcPr>
            <w:tcW w:w="5168" w:type="dxa"/>
          </w:tcPr>
          <w:p w14:paraId="6C08CCF4" w14:textId="77777777" w:rsidR="00D81D3D" w:rsidRPr="00295D4D" w:rsidRDefault="00D81D3D" w:rsidP="00D81D3D">
            <w:pPr>
              <w:pStyle w:val="Recuodecorpodetexto"/>
              <w:tabs>
                <w:tab w:val="left" w:pos="817"/>
              </w:tabs>
              <w:spacing w:after="0" w:line="320" w:lineRule="exact"/>
              <w:ind w:left="0"/>
              <w:jc w:val="both"/>
              <w:rPr>
                <w:rFonts w:ascii="Verdana" w:hAnsi="Verdana" w:cs="Arial"/>
                <w:b/>
                <w:sz w:val="18"/>
                <w:szCs w:val="18"/>
                <w:lang w:val="en-US"/>
              </w:rPr>
            </w:pPr>
          </w:p>
        </w:tc>
      </w:tr>
      <w:tr w:rsidR="00D81D3D" w:rsidRPr="00016DC5" w14:paraId="5F3CDC9C" w14:textId="77777777" w:rsidTr="00BE12AD">
        <w:trPr>
          <w:trHeight w:val="20"/>
          <w:jc w:val="center"/>
        </w:trPr>
        <w:tc>
          <w:tcPr>
            <w:tcW w:w="5382" w:type="dxa"/>
          </w:tcPr>
          <w:p w14:paraId="5C3B15D7" w14:textId="5183796E" w:rsidR="00D81D3D" w:rsidRPr="00295D4D" w:rsidRDefault="00D81D3D" w:rsidP="00D81D3D">
            <w:pPr>
              <w:pStyle w:val="Recuodecorpodetexto"/>
              <w:tabs>
                <w:tab w:val="left" w:pos="817"/>
              </w:tabs>
              <w:spacing w:after="0" w:line="320" w:lineRule="exact"/>
              <w:ind w:left="0"/>
              <w:jc w:val="both"/>
              <w:rPr>
                <w:rFonts w:ascii="Verdana" w:hAnsi="Verdana" w:cs="Arial"/>
                <w:sz w:val="18"/>
                <w:szCs w:val="18"/>
              </w:rPr>
            </w:pPr>
            <w:r w:rsidRPr="00295D4D">
              <w:rPr>
                <w:rFonts w:ascii="Verdana" w:hAnsi="Verdana" w:cs="Arial"/>
                <w:b/>
                <w:sz w:val="18"/>
                <w:szCs w:val="18"/>
              </w:rPr>
              <w:t>11.</w:t>
            </w:r>
            <w:r w:rsidRPr="00295D4D">
              <w:rPr>
                <w:rFonts w:ascii="Verdana" w:hAnsi="Verdana" w:cs="Arial"/>
                <w:sz w:val="18"/>
                <w:szCs w:val="18"/>
              </w:rPr>
              <w:tab/>
              <w:t>O SUBSCRITOR declara, ainda, que obteve acesso ao Formulário de Referência da Companhia e ao Fato Relevante da Oferta, contemplando as condições da Oferta.</w:t>
            </w:r>
          </w:p>
        </w:tc>
        <w:tc>
          <w:tcPr>
            <w:tcW w:w="5168" w:type="dxa"/>
          </w:tcPr>
          <w:p w14:paraId="61C1B4AB" w14:textId="3BD65A16" w:rsidR="00D81D3D" w:rsidRPr="00295D4D" w:rsidRDefault="00D81D3D" w:rsidP="00D81D3D">
            <w:pPr>
              <w:pStyle w:val="Recuodecorpodetexto"/>
              <w:tabs>
                <w:tab w:val="left" w:pos="817"/>
              </w:tabs>
              <w:spacing w:after="0" w:line="320" w:lineRule="exact"/>
              <w:ind w:left="0"/>
              <w:jc w:val="both"/>
              <w:rPr>
                <w:rFonts w:ascii="Verdana" w:hAnsi="Verdana" w:cs="Arial"/>
                <w:b/>
                <w:sz w:val="18"/>
                <w:szCs w:val="18"/>
                <w:lang w:val="en-US"/>
              </w:rPr>
            </w:pPr>
            <w:bookmarkStart w:id="9" w:name="_DV_C168"/>
            <w:r w:rsidRPr="00295D4D">
              <w:rPr>
                <w:rFonts w:ascii="Verdana" w:hAnsi="Verdana" w:cs="Arial"/>
                <w:b/>
                <w:sz w:val="18"/>
                <w:szCs w:val="18"/>
                <w:lang w:val="en-US"/>
              </w:rPr>
              <w:t xml:space="preserve">11. </w:t>
            </w:r>
            <w:r w:rsidRPr="00295D4D">
              <w:rPr>
                <w:rFonts w:ascii="Verdana" w:hAnsi="Verdana" w:cs="Arial"/>
                <w:sz w:val="18"/>
                <w:szCs w:val="18"/>
                <w:lang w:val="en-US"/>
              </w:rPr>
              <w:t>The SUBSCRIBER also declares that they have gained access to the Company's Reference Form and to the Material Fact of the Offer, including the conditions of the Offer.</w:t>
            </w:r>
          </w:p>
        </w:tc>
      </w:tr>
      <w:tr w:rsidR="00D81D3D" w:rsidRPr="00016DC5" w14:paraId="7E2A1DC0" w14:textId="77777777" w:rsidTr="00BE12AD">
        <w:trPr>
          <w:trHeight w:val="20"/>
          <w:jc w:val="center"/>
        </w:trPr>
        <w:tc>
          <w:tcPr>
            <w:tcW w:w="5382" w:type="dxa"/>
          </w:tcPr>
          <w:p w14:paraId="3CE83A5E" w14:textId="77777777" w:rsidR="00D81D3D" w:rsidRPr="00295D4D" w:rsidRDefault="00D81D3D" w:rsidP="00D81D3D">
            <w:pPr>
              <w:pStyle w:val="Recuodecorpodetexto"/>
              <w:tabs>
                <w:tab w:val="left" w:pos="817"/>
              </w:tabs>
              <w:spacing w:after="0" w:line="320" w:lineRule="exact"/>
              <w:ind w:left="0"/>
              <w:jc w:val="both"/>
              <w:rPr>
                <w:rFonts w:ascii="Verdana" w:hAnsi="Verdana" w:cs="Arial"/>
                <w:sz w:val="18"/>
                <w:szCs w:val="18"/>
                <w:lang w:val="en-US"/>
              </w:rPr>
            </w:pPr>
          </w:p>
        </w:tc>
        <w:tc>
          <w:tcPr>
            <w:tcW w:w="5168" w:type="dxa"/>
          </w:tcPr>
          <w:p w14:paraId="3413FEFE" w14:textId="77777777" w:rsidR="00D81D3D" w:rsidRPr="00295D4D" w:rsidRDefault="00D81D3D" w:rsidP="00D81D3D">
            <w:pPr>
              <w:pStyle w:val="Recuodecorpodetexto"/>
              <w:tabs>
                <w:tab w:val="left" w:pos="817"/>
              </w:tabs>
              <w:spacing w:after="0" w:line="320" w:lineRule="exact"/>
              <w:ind w:left="0"/>
              <w:jc w:val="both"/>
              <w:rPr>
                <w:rFonts w:ascii="Verdana" w:hAnsi="Verdana" w:cs="Arial"/>
                <w:b/>
                <w:sz w:val="18"/>
                <w:szCs w:val="18"/>
                <w:lang w:val="en-US"/>
              </w:rPr>
            </w:pPr>
          </w:p>
        </w:tc>
      </w:tr>
      <w:tr w:rsidR="00D81D3D" w:rsidRPr="00016DC5" w14:paraId="1E77F25D" w14:textId="77777777" w:rsidTr="00BE12AD">
        <w:trPr>
          <w:trHeight w:val="20"/>
          <w:jc w:val="center"/>
        </w:trPr>
        <w:tc>
          <w:tcPr>
            <w:tcW w:w="5382" w:type="dxa"/>
          </w:tcPr>
          <w:p w14:paraId="30C459E5" w14:textId="4F93C2F8" w:rsidR="00D81D3D" w:rsidRPr="00295D4D" w:rsidRDefault="00D81D3D" w:rsidP="00D81D3D">
            <w:pPr>
              <w:pStyle w:val="Recuodecorpodetexto"/>
              <w:tabs>
                <w:tab w:val="left" w:pos="817"/>
              </w:tabs>
              <w:spacing w:after="0" w:line="320" w:lineRule="exact"/>
              <w:ind w:left="0"/>
              <w:jc w:val="both"/>
              <w:rPr>
                <w:rFonts w:ascii="Verdana" w:hAnsi="Verdana" w:cs="Arial"/>
                <w:sz w:val="18"/>
                <w:szCs w:val="18"/>
              </w:rPr>
            </w:pPr>
            <w:r w:rsidRPr="00295D4D">
              <w:rPr>
                <w:rFonts w:ascii="Verdana" w:hAnsi="Verdana" w:cs="Arial"/>
                <w:b/>
                <w:sz w:val="18"/>
                <w:szCs w:val="18"/>
              </w:rPr>
              <w:t>12.</w:t>
            </w:r>
            <w:r w:rsidRPr="00295D4D">
              <w:rPr>
                <w:rFonts w:ascii="Verdana" w:hAnsi="Verdana" w:cs="Arial"/>
                <w:sz w:val="18"/>
                <w:szCs w:val="18"/>
              </w:rPr>
              <w:tab/>
              <w:t>O SUBSCRITOR declara que está ciente de que a Oferta foi submetida ao rito de registro automático da CVM, nos termos da Resolução CVM 160. A Oferta não foi objeto de análise prévia pela CVM, pela ANBIMA ou por qualquer entidade reguladora ou autorreguladora, contudo, após a divulgação do Anúncio de Encerramento da Oferta, a Oferta será objeto de registro na ANBIMA, conforme artigo 19 do Código ANBIMA e artigos 15 e 16 das Regras e Procedimentos.</w:t>
            </w:r>
          </w:p>
        </w:tc>
        <w:tc>
          <w:tcPr>
            <w:tcW w:w="5168" w:type="dxa"/>
          </w:tcPr>
          <w:p w14:paraId="77B96581" w14:textId="6BC51042" w:rsidR="00D81D3D" w:rsidRPr="00295D4D" w:rsidRDefault="00D81D3D" w:rsidP="00D81D3D">
            <w:pPr>
              <w:pStyle w:val="Recuodecorpodetexto"/>
              <w:tabs>
                <w:tab w:val="left" w:pos="817"/>
              </w:tabs>
              <w:spacing w:after="0" w:line="320" w:lineRule="exact"/>
              <w:ind w:left="0"/>
              <w:jc w:val="both"/>
              <w:rPr>
                <w:rFonts w:ascii="Verdana" w:hAnsi="Verdana" w:cs="Arial"/>
                <w:b/>
                <w:sz w:val="18"/>
                <w:szCs w:val="18"/>
                <w:lang w:val="en-US"/>
              </w:rPr>
            </w:pPr>
            <w:bookmarkStart w:id="10" w:name="_DV_M137"/>
            <w:bookmarkEnd w:id="9"/>
            <w:bookmarkEnd w:id="10"/>
            <w:r w:rsidRPr="00295D4D">
              <w:rPr>
                <w:rFonts w:ascii="Verdana" w:hAnsi="Verdana" w:cs="Arial"/>
                <w:b/>
                <w:sz w:val="18"/>
                <w:szCs w:val="18"/>
                <w:lang w:val="en-US"/>
              </w:rPr>
              <w:t xml:space="preserve">12. </w:t>
            </w:r>
            <w:r w:rsidRPr="00295D4D">
              <w:rPr>
                <w:rFonts w:ascii="Verdana" w:hAnsi="Verdana" w:cs="Arial"/>
                <w:sz w:val="18"/>
                <w:szCs w:val="18"/>
                <w:lang w:val="en-US"/>
              </w:rPr>
              <w:t xml:space="preserve">The SUBSCRIBER declares to be aware that the </w:t>
            </w:r>
            <w:proofErr w:type="gramStart"/>
            <w:r w:rsidRPr="00295D4D">
              <w:rPr>
                <w:rFonts w:ascii="Verdana" w:hAnsi="Verdana" w:cs="Arial"/>
                <w:sz w:val="18"/>
                <w:szCs w:val="18"/>
                <w:lang w:val="en-US"/>
              </w:rPr>
              <w:t>offering</w:t>
            </w:r>
            <w:proofErr w:type="gramEnd"/>
            <w:r w:rsidRPr="00295D4D">
              <w:rPr>
                <w:rFonts w:ascii="Verdana" w:hAnsi="Verdana" w:cs="Arial"/>
                <w:sz w:val="18"/>
                <w:szCs w:val="18"/>
                <w:lang w:val="en-US"/>
              </w:rPr>
              <w:t xml:space="preserve"> was submitted to the automatic registration procedure under CVM Resolution 160. The Offering will not be subject to a prior analysis by the CVM, the ANBIMA or by any regulatory or self-regulating entity. However, after the Offer's closing announcement, the Offering will be registered with ANBIMA in accordance with article 19 of the ANBIMA Code and articles 15 and 16 of Rules and Procedures.</w:t>
            </w:r>
          </w:p>
        </w:tc>
      </w:tr>
      <w:tr w:rsidR="00D81D3D" w:rsidRPr="00016DC5" w14:paraId="528F1528" w14:textId="77777777" w:rsidTr="00BE12AD">
        <w:trPr>
          <w:trHeight w:val="20"/>
          <w:jc w:val="center"/>
        </w:trPr>
        <w:tc>
          <w:tcPr>
            <w:tcW w:w="5382" w:type="dxa"/>
          </w:tcPr>
          <w:p w14:paraId="189B43F8" w14:textId="77777777" w:rsidR="00D81D3D" w:rsidRPr="00295D4D" w:rsidRDefault="00D81D3D" w:rsidP="00D81D3D">
            <w:pPr>
              <w:pStyle w:val="Recuodecorpodetexto"/>
              <w:tabs>
                <w:tab w:val="left" w:pos="817"/>
              </w:tabs>
              <w:spacing w:after="0" w:line="320" w:lineRule="exact"/>
              <w:ind w:left="0"/>
              <w:jc w:val="both"/>
              <w:rPr>
                <w:rFonts w:ascii="Verdana" w:hAnsi="Verdana" w:cs="Arial"/>
                <w:sz w:val="18"/>
                <w:szCs w:val="18"/>
                <w:lang w:val="en-US"/>
              </w:rPr>
            </w:pPr>
          </w:p>
        </w:tc>
        <w:tc>
          <w:tcPr>
            <w:tcW w:w="5168" w:type="dxa"/>
          </w:tcPr>
          <w:p w14:paraId="178B3579" w14:textId="77777777" w:rsidR="00D81D3D" w:rsidRPr="00295D4D" w:rsidRDefault="00D81D3D" w:rsidP="00D81D3D">
            <w:pPr>
              <w:pStyle w:val="Recuodecorpodetexto"/>
              <w:tabs>
                <w:tab w:val="left" w:pos="817"/>
              </w:tabs>
              <w:spacing w:after="0" w:line="320" w:lineRule="exact"/>
              <w:ind w:left="0"/>
              <w:jc w:val="both"/>
              <w:rPr>
                <w:rFonts w:ascii="Verdana" w:hAnsi="Verdana" w:cs="Arial"/>
                <w:b/>
                <w:sz w:val="18"/>
                <w:szCs w:val="18"/>
                <w:lang w:val="en-US"/>
              </w:rPr>
            </w:pPr>
          </w:p>
        </w:tc>
      </w:tr>
      <w:tr w:rsidR="00D81D3D" w:rsidRPr="00016DC5" w14:paraId="35EB1052" w14:textId="77777777" w:rsidTr="00BE12AD">
        <w:trPr>
          <w:trHeight w:val="20"/>
          <w:jc w:val="center"/>
        </w:trPr>
        <w:tc>
          <w:tcPr>
            <w:tcW w:w="5382" w:type="dxa"/>
          </w:tcPr>
          <w:p w14:paraId="562B9432" w14:textId="17FC3F0B" w:rsidR="00D81D3D" w:rsidRPr="00295D4D" w:rsidRDefault="00D81D3D" w:rsidP="00D81D3D">
            <w:pPr>
              <w:pStyle w:val="Recuodecorpodetexto"/>
              <w:tabs>
                <w:tab w:val="left" w:pos="817"/>
              </w:tabs>
              <w:spacing w:after="0" w:line="320" w:lineRule="exact"/>
              <w:ind w:left="0"/>
              <w:jc w:val="both"/>
              <w:rPr>
                <w:rFonts w:ascii="Verdana" w:hAnsi="Verdana" w:cs="Arial"/>
                <w:sz w:val="18"/>
                <w:szCs w:val="18"/>
              </w:rPr>
            </w:pPr>
            <w:r w:rsidRPr="00295D4D">
              <w:rPr>
                <w:rFonts w:ascii="Verdana" w:hAnsi="Verdana" w:cs="Arial"/>
                <w:b/>
                <w:bCs/>
                <w:sz w:val="18"/>
                <w:szCs w:val="18"/>
              </w:rPr>
              <w:t>13.1</w:t>
            </w:r>
            <w:r w:rsidRPr="00295D4D">
              <w:rPr>
                <w:rFonts w:ascii="Verdana" w:hAnsi="Verdana" w:cs="Arial"/>
                <w:sz w:val="18"/>
                <w:szCs w:val="18"/>
              </w:rPr>
              <w:t xml:space="preserve"> O SUBSCRITOR residente e domiciliado ou com sede no exterior, ao preencher Pedido de Subscrição Prioritária, estará declarando que não existe lei, norma ou qualquer outro dispositivo legal ou regulamentar que impeça ou proíba o SUBSCRITOR de subscrever as </w:t>
            </w:r>
            <w:r>
              <w:rPr>
                <w:rFonts w:ascii="Verdana" w:hAnsi="Verdana" w:cs="Arial"/>
                <w:sz w:val="18"/>
                <w:szCs w:val="18"/>
              </w:rPr>
              <w:t xml:space="preserve">Cestas de </w:t>
            </w:r>
            <w:r w:rsidRPr="00295D4D">
              <w:rPr>
                <w:rFonts w:ascii="Verdana" w:hAnsi="Verdana" w:cs="Arial"/>
                <w:sz w:val="18"/>
                <w:szCs w:val="18"/>
              </w:rPr>
              <w:t>Ações objeto deste Pedido de Subscrição Prioritária nos termos e condições aqui previstos, obrigando-se a indenizar prontamente a Companhia e o Coordenador da Oferta por todo e qualquer prejuízo que venham a incorrer em decorrência da inveracidade desta declaração.</w:t>
            </w:r>
          </w:p>
        </w:tc>
        <w:tc>
          <w:tcPr>
            <w:tcW w:w="5168" w:type="dxa"/>
          </w:tcPr>
          <w:p w14:paraId="60E114E2" w14:textId="16386F9E" w:rsidR="00D81D3D" w:rsidRPr="00295D4D" w:rsidRDefault="00D81D3D" w:rsidP="00D81D3D">
            <w:pPr>
              <w:pStyle w:val="Recuodecorpodetexto"/>
              <w:tabs>
                <w:tab w:val="left" w:pos="817"/>
              </w:tabs>
              <w:spacing w:after="0" w:line="320" w:lineRule="exact"/>
              <w:ind w:left="0"/>
              <w:jc w:val="both"/>
              <w:rPr>
                <w:rFonts w:ascii="Verdana" w:hAnsi="Verdana" w:cs="Arial"/>
                <w:sz w:val="18"/>
                <w:szCs w:val="18"/>
                <w:lang w:val="en-US"/>
              </w:rPr>
            </w:pPr>
            <w:r w:rsidRPr="00295D4D">
              <w:rPr>
                <w:rFonts w:ascii="Verdana" w:hAnsi="Verdana" w:cs="Arial"/>
                <w:b/>
                <w:bCs/>
                <w:sz w:val="18"/>
                <w:szCs w:val="18"/>
                <w:lang w:val="en-US"/>
              </w:rPr>
              <w:t>13.1.</w:t>
            </w:r>
            <w:r w:rsidRPr="00295D4D">
              <w:rPr>
                <w:rFonts w:ascii="Verdana" w:hAnsi="Verdana" w:cs="Arial"/>
                <w:sz w:val="18"/>
                <w:szCs w:val="18"/>
                <w:lang w:val="en-US"/>
              </w:rPr>
              <w:t xml:space="preserve"> The SUBSCRIBER residing and domiciled or based abroad, by filling out this Priority Subscription Order, hereby declares that there is no law, regulation or other legal or regulatory provision that prevents or prohibits the SUBSCRIBER from subscribing to the </w:t>
            </w:r>
            <w:r w:rsidR="00230CAA">
              <w:rPr>
                <w:rFonts w:ascii="Verdana" w:hAnsi="Verdana" w:cs="Arial"/>
                <w:sz w:val="18"/>
                <w:szCs w:val="18"/>
                <w:lang w:val="en-US"/>
              </w:rPr>
              <w:t>Baskets of Shares</w:t>
            </w:r>
            <w:r w:rsidRPr="00295D4D">
              <w:rPr>
                <w:rFonts w:ascii="Verdana" w:hAnsi="Verdana" w:cs="Arial"/>
                <w:sz w:val="18"/>
                <w:szCs w:val="18"/>
                <w:lang w:val="en-US"/>
              </w:rPr>
              <w:t xml:space="preserve"> that are the subject of this Subscription Form under the terms and conditions set forth herein, and obliges to promptly indemnify the Company and the Underwriter for any and all damages they may incur as a result of any untruths contained within this statement.</w:t>
            </w:r>
          </w:p>
        </w:tc>
      </w:tr>
      <w:tr w:rsidR="00D81D3D" w:rsidRPr="00016DC5" w14:paraId="6D50A675" w14:textId="77777777" w:rsidTr="00BE12AD">
        <w:trPr>
          <w:trHeight w:val="20"/>
          <w:jc w:val="center"/>
        </w:trPr>
        <w:tc>
          <w:tcPr>
            <w:tcW w:w="5382" w:type="dxa"/>
          </w:tcPr>
          <w:p w14:paraId="15DDFB0D" w14:textId="77777777" w:rsidR="00D81D3D" w:rsidRPr="00295D4D" w:rsidRDefault="00D81D3D" w:rsidP="00D81D3D">
            <w:pPr>
              <w:pStyle w:val="Recuodecorpodetexto"/>
              <w:tabs>
                <w:tab w:val="left" w:pos="817"/>
              </w:tabs>
              <w:spacing w:after="0" w:line="320" w:lineRule="exact"/>
              <w:ind w:left="0"/>
              <w:jc w:val="both"/>
              <w:rPr>
                <w:rFonts w:ascii="Verdana" w:hAnsi="Verdana" w:cs="Arial"/>
                <w:sz w:val="18"/>
                <w:szCs w:val="18"/>
                <w:lang w:val="en-US"/>
              </w:rPr>
            </w:pPr>
          </w:p>
        </w:tc>
        <w:tc>
          <w:tcPr>
            <w:tcW w:w="5168" w:type="dxa"/>
          </w:tcPr>
          <w:p w14:paraId="7FF4CC5A" w14:textId="77777777" w:rsidR="00D81D3D" w:rsidRPr="00295D4D" w:rsidRDefault="00D81D3D" w:rsidP="00D81D3D">
            <w:pPr>
              <w:pStyle w:val="Recuodecorpodetexto"/>
              <w:tabs>
                <w:tab w:val="left" w:pos="817"/>
              </w:tabs>
              <w:spacing w:after="0" w:line="320" w:lineRule="exact"/>
              <w:ind w:left="0"/>
              <w:jc w:val="both"/>
              <w:rPr>
                <w:rFonts w:ascii="Verdana" w:hAnsi="Verdana" w:cs="Arial"/>
                <w:b/>
                <w:sz w:val="18"/>
                <w:szCs w:val="18"/>
                <w:lang w:val="en-US"/>
              </w:rPr>
            </w:pPr>
          </w:p>
        </w:tc>
      </w:tr>
      <w:tr w:rsidR="00D81D3D" w:rsidRPr="00016DC5" w14:paraId="12BD7CAB" w14:textId="77777777" w:rsidTr="00BE12AD">
        <w:trPr>
          <w:trHeight w:val="20"/>
          <w:jc w:val="center"/>
        </w:trPr>
        <w:tc>
          <w:tcPr>
            <w:tcW w:w="5382" w:type="dxa"/>
          </w:tcPr>
          <w:p w14:paraId="4A0EC9D1" w14:textId="67BAB7E9" w:rsidR="00D81D3D" w:rsidRPr="00295D4D" w:rsidRDefault="00D81D3D" w:rsidP="00D81D3D">
            <w:pPr>
              <w:pStyle w:val="Recuodecorpodetexto"/>
              <w:tabs>
                <w:tab w:val="left" w:pos="817"/>
              </w:tabs>
              <w:spacing w:after="0" w:line="320" w:lineRule="exact"/>
              <w:ind w:left="0"/>
              <w:jc w:val="both"/>
              <w:rPr>
                <w:rFonts w:ascii="Verdana" w:hAnsi="Verdana" w:cs="Arial"/>
                <w:sz w:val="18"/>
                <w:szCs w:val="18"/>
              </w:rPr>
            </w:pPr>
            <w:r w:rsidRPr="00295D4D">
              <w:rPr>
                <w:rFonts w:ascii="Verdana" w:hAnsi="Verdana" w:cs="Arial"/>
                <w:b/>
                <w:bCs/>
                <w:sz w:val="18"/>
                <w:szCs w:val="18"/>
              </w:rPr>
              <w:t>13.2</w:t>
            </w:r>
            <w:r w:rsidRPr="00295D4D">
              <w:rPr>
                <w:rFonts w:ascii="Verdana" w:hAnsi="Verdana" w:cs="Arial"/>
                <w:sz w:val="18"/>
                <w:szCs w:val="18"/>
              </w:rPr>
              <w:t xml:space="preserve"> O SUBSCRITOR que seja residente e domiciliado ou com sede no exterior declara que está devidamente registrado na CVM, nos termos da Resolução da CVM nº 13, de 18 de novembro de 2020, conforme alterada, e da Resolução conjunta BACEN e CVM nº 13, de 3 de </w:t>
            </w:r>
            <w:r w:rsidRPr="00295D4D">
              <w:rPr>
                <w:rFonts w:ascii="Verdana" w:hAnsi="Verdana" w:cs="Arial"/>
                <w:sz w:val="18"/>
                <w:szCs w:val="18"/>
              </w:rPr>
              <w:lastRenderedPageBreak/>
              <w:t xml:space="preserve">dezembro de 2024 ou da </w:t>
            </w:r>
            <w:r w:rsidRPr="00295D4D">
              <w:rPr>
                <w:rFonts w:ascii="Verdana" w:hAnsi="Verdana" w:cs="Arial"/>
                <w:bCs/>
                <w:sz w:val="18"/>
                <w:szCs w:val="18"/>
              </w:rPr>
              <w:t>Lei nº 14.286, de 29 de dezembro de 2021, conforme alterada</w:t>
            </w:r>
            <w:r w:rsidRPr="00295D4D">
              <w:rPr>
                <w:rFonts w:ascii="Verdana" w:hAnsi="Verdana" w:cs="Arial"/>
                <w:sz w:val="18"/>
                <w:szCs w:val="18"/>
              </w:rPr>
              <w:t>.</w:t>
            </w:r>
          </w:p>
        </w:tc>
        <w:tc>
          <w:tcPr>
            <w:tcW w:w="5168" w:type="dxa"/>
          </w:tcPr>
          <w:p w14:paraId="346145BF" w14:textId="30C4062E" w:rsidR="00D81D3D" w:rsidRPr="00295D4D" w:rsidRDefault="00D81D3D" w:rsidP="00D81D3D">
            <w:pPr>
              <w:pStyle w:val="Recuodecorpodetexto"/>
              <w:tabs>
                <w:tab w:val="left" w:pos="817"/>
              </w:tabs>
              <w:spacing w:after="0" w:line="320" w:lineRule="exact"/>
              <w:ind w:left="0"/>
              <w:jc w:val="both"/>
              <w:rPr>
                <w:rFonts w:ascii="Verdana" w:hAnsi="Verdana" w:cs="Arial"/>
                <w:sz w:val="18"/>
                <w:szCs w:val="18"/>
                <w:lang w:val="en-US"/>
              </w:rPr>
            </w:pPr>
            <w:r w:rsidRPr="00295D4D">
              <w:rPr>
                <w:rFonts w:ascii="Verdana" w:hAnsi="Verdana" w:cs="Arial"/>
                <w:b/>
                <w:bCs/>
                <w:sz w:val="18"/>
                <w:szCs w:val="18"/>
                <w:lang w:val="en-US"/>
              </w:rPr>
              <w:lastRenderedPageBreak/>
              <w:t>13.2.</w:t>
            </w:r>
            <w:r w:rsidRPr="00295D4D">
              <w:rPr>
                <w:rFonts w:ascii="Verdana" w:hAnsi="Verdana" w:cs="Arial"/>
                <w:sz w:val="18"/>
                <w:szCs w:val="18"/>
                <w:lang w:val="en-US"/>
              </w:rPr>
              <w:t xml:space="preserve"> The SUBSCRIBER that is residing and domiciled or based abroad hereby declares that they are duly registered with the CVM, pursuant to CVM Resolution No. 13, as of December 3, 2020, as amended, and Joint BACEN and CVM Resolution No. 13, as of December 3, </w:t>
            </w:r>
            <w:r w:rsidRPr="00295D4D">
              <w:rPr>
                <w:rFonts w:ascii="Verdana" w:hAnsi="Verdana" w:cs="Arial"/>
                <w:sz w:val="18"/>
                <w:szCs w:val="18"/>
                <w:lang w:val="en-US"/>
              </w:rPr>
              <w:lastRenderedPageBreak/>
              <w:t>2024 or Law No. 14.286, as of December 29, 2021, as amended.</w:t>
            </w:r>
          </w:p>
        </w:tc>
      </w:tr>
      <w:tr w:rsidR="00D81D3D" w:rsidRPr="00016DC5" w14:paraId="18B78A09" w14:textId="77777777" w:rsidTr="00BE12AD">
        <w:trPr>
          <w:trHeight w:val="20"/>
          <w:jc w:val="center"/>
        </w:trPr>
        <w:tc>
          <w:tcPr>
            <w:tcW w:w="5382" w:type="dxa"/>
          </w:tcPr>
          <w:p w14:paraId="0A645C27" w14:textId="77777777" w:rsidR="00D81D3D" w:rsidRPr="00295D4D" w:rsidRDefault="00D81D3D" w:rsidP="00D81D3D">
            <w:pPr>
              <w:pStyle w:val="Recuodecorpodetexto"/>
              <w:tabs>
                <w:tab w:val="left" w:pos="817"/>
              </w:tabs>
              <w:spacing w:after="0" w:line="320" w:lineRule="exact"/>
              <w:ind w:left="0"/>
              <w:jc w:val="both"/>
              <w:rPr>
                <w:rFonts w:ascii="Verdana" w:hAnsi="Verdana" w:cs="Arial"/>
                <w:sz w:val="18"/>
                <w:szCs w:val="18"/>
                <w:lang w:val="en-US"/>
              </w:rPr>
            </w:pPr>
          </w:p>
        </w:tc>
        <w:tc>
          <w:tcPr>
            <w:tcW w:w="5168" w:type="dxa"/>
          </w:tcPr>
          <w:p w14:paraId="47300834" w14:textId="77777777" w:rsidR="00D81D3D" w:rsidRPr="00295D4D" w:rsidRDefault="00D81D3D" w:rsidP="00D81D3D">
            <w:pPr>
              <w:pStyle w:val="Recuodecorpodetexto"/>
              <w:tabs>
                <w:tab w:val="left" w:pos="817"/>
              </w:tabs>
              <w:spacing w:after="0" w:line="320" w:lineRule="exact"/>
              <w:ind w:left="0"/>
              <w:jc w:val="both"/>
              <w:rPr>
                <w:rFonts w:ascii="Verdana" w:hAnsi="Verdana" w:cs="Arial"/>
                <w:b/>
                <w:sz w:val="18"/>
                <w:szCs w:val="18"/>
                <w:lang w:val="en-US"/>
              </w:rPr>
            </w:pPr>
          </w:p>
        </w:tc>
      </w:tr>
      <w:tr w:rsidR="00D81D3D" w:rsidRPr="00016DC5" w14:paraId="031ACBF5" w14:textId="2AE19B48" w:rsidTr="00BE12AD">
        <w:trPr>
          <w:trHeight w:val="20"/>
          <w:jc w:val="center"/>
        </w:trPr>
        <w:tc>
          <w:tcPr>
            <w:tcW w:w="5382" w:type="dxa"/>
          </w:tcPr>
          <w:p w14:paraId="54373843" w14:textId="3CACA8A5" w:rsidR="00D81D3D" w:rsidRPr="00295D4D" w:rsidRDefault="00D81D3D" w:rsidP="00D81D3D">
            <w:pPr>
              <w:pStyle w:val="Recuodecorpodetexto"/>
              <w:tabs>
                <w:tab w:val="left" w:pos="817"/>
              </w:tabs>
              <w:spacing w:after="0" w:line="320" w:lineRule="exact"/>
              <w:ind w:left="0"/>
              <w:jc w:val="both"/>
              <w:rPr>
                <w:rFonts w:ascii="Verdana" w:hAnsi="Verdana" w:cs="Arial"/>
                <w:sz w:val="18"/>
                <w:szCs w:val="18"/>
              </w:rPr>
            </w:pPr>
            <w:r w:rsidRPr="00295D4D">
              <w:rPr>
                <w:rFonts w:ascii="Verdana" w:hAnsi="Verdana" w:cs="Arial"/>
                <w:b/>
                <w:sz w:val="18"/>
                <w:szCs w:val="18"/>
              </w:rPr>
              <w:t>14.</w:t>
            </w:r>
            <w:r w:rsidRPr="00295D4D">
              <w:rPr>
                <w:rFonts w:ascii="Verdana" w:hAnsi="Verdana" w:cs="Arial"/>
                <w:sz w:val="18"/>
                <w:szCs w:val="18"/>
              </w:rPr>
              <w:tab/>
              <w:t>O SUBSCRITOR, nos termos do artigo 63 da Resolução CVM 160, declara que não realizou vendas a descoberto de ações de emissão da Companhia na data da RCA de Aprovação e nos cinco pregões que a antecederam.</w:t>
            </w:r>
          </w:p>
        </w:tc>
        <w:tc>
          <w:tcPr>
            <w:tcW w:w="5168" w:type="dxa"/>
          </w:tcPr>
          <w:p w14:paraId="657636A2" w14:textId="2ED47CB5" w:rsidR="00D81D3D" w:rsidRPr="00295D4D" w:rsidRDefault="00D81D3D" w:rsidP="00D81D3D">
            <w:pPr>
              <w:pStyle w:val="Recuodecorpodetexto"/>
              <w:tabs>
                <w:tab w:val="left" w:pos="817"/>
              </w:tabs>
              <w:spacing w:after="0" w:line="320" w:lineRule="exact"/>
              <w:ind w:left="0"/>
              <w:jc w:val="both"/>
              <w:rPr>
                <w:rFonts w:ascii="Verdana" w:hAnsi="Verdana" w:cs="Arial"/>
                <w:b/>
                <w:sz w:val="18"/>
                <w:szCs w:val="18"/>
                <w:lang w:val="en-US"/>
              </w:rPr>
            </w:pPr>
            <w:r w:rsidRPr="00295D4D">
              <w:rPr>
                <w:rFonts w:ascii="Verdana" w:hAnsi="Verdana" w:cs="Arial"/>
                <w:b/>
                <w:sz w:val="18"/>
                <w:szCs w:val="18"/>
                <w:lang w:val="en-US"/>
              </w:rPr>
              <w:t xml:space="preserve">14. </w:t>
            </w:r>
            <w:r w:rsidRPr="00295D4D">
              <w:rPr>
                <w:rFonts w:ascii="Verdana" w:hAnsi="Verdana" w:cs="Arial"/>
                <w:sz w:val="18"/>
                <w:szCs w:val="18"/>
                <w:lang w:val="en-US"/>
              </w:rPr>
              <w:t xml:space="preserve">Pursuant to Article 63 of CVM Resolution 160, the SUBSCRIBER declares that they have not affected any short sales of preferred shares issued by the Company on the date of the Approval </w:t>
            </w:r>
            <w:proofErr w:type="spellStart"/>
            <w:r w:rsidRPr="00295D4D">
              <w:rPr>
                <w:rFonts w:ascii="Verdana" w:hAnsi="Verdana" w:cs="Arial"/>
                <w:sz w:val="18"/>
                <w:szCs w:val="18"/>
                <w:lang w:val="en-US"/>
              </w:rPr>
              <w:t>BoD</w:t>
            </w:r>
            <w:proofErr w:type="spellEnd"/>
            <w:r w:rsidRPr="00295D4D">
              <w:rPr>
                <w:rFonts w:ascii="Verdana" w:hAnsi="Verdana" w:cs="Arial"/>
                <w:sz w:val="18"/>
                <w:szCs w:val="18"/>
                <w:lang w:val="en-US"/>
              </w:rPr>
              <w:t xml:space="preserve"> and in the five trading sessions that preceded it.</w:t>
            </w:r>
          </w:p>
        </w:tc>
      </w:tr>
      <w:tr w:rsidR="00D81D3D" w:rsidRPr="00016DC5" w14:paraId="7ABD02BF" w14:textId="77777777" w:rsidTr="00BE12AD">
        <w:trPr>
          <w:trHeight w:val="20"/>
          <w:jc w:val="center"/>
        </w:trPr>
        <w:tc>
          <w:tcPr>
            <w:tcW w:w="5382" w:type="dxa"/>
          </w:tcPr>
          <w:p w14:paraId="6DF5BE74" w14:textId="77777777" w:rsidR="00D81D3D" w:rsidRPr="00295D4D" w:rsidRDefault="00D81D3D" w:rsidP="00D81D3D">
            <w:pPr>
              <w:pStyle w:val="Recuodecorpodetexto"/>
              <w:tabs>
                <w:tab w:val="left" w:pos="817"/>
              </w:tabs>
              <w:spacing w:after="0" w:line="320" w:lineRule="exact"/>
              <w:ind w:left="0"/>
              <w:jc w:val="both"/>
              <w:rPr>
                <w:rFonts w:ascii="Verdana" w:hAnsi="Verdana" w:cs="Arial"/>
                <w:b/>
                <w:sz w:val="18"/>
                <w:szCs w:val="18"/>
                <w:lang w:val="en-US"/>
              </w:rPr>
            </w:pPr>
          </w:p>
        </w:tc>
        <w:tc>
          <w:tcPr>
            <w:tcW w:w="5168" w:type="dxa"/>
          </w:tcPr>
          <w:p w14:paraId="079859E3" w14:textId="77777777" w:rsidR="00D81D3D" w:rsidRPr="00295D4D" w:rsidRDefault="00D81D3D" w:rsidP="00D81D3D">
            <w:pPr>
              <w:pStyle w:val="Recuodecorpodetexto"/>
              <w:tabs>
                <w:tab w:val="left" w:pos="817"/>
              </w:tabs>
              <w:spacing w:after="0" w:line="320" w:lineRule="exact"/>
              <w:ind w:left="0"/>
              <w:jc w:val="both"/>
              <w:rPr>
                <w:rFonts w:ascii="Verdana" w:hAnsi="Verdana" w:cs="Arial"/>
                <w:b/>
                <w:sz w:val="18"/>
                <w:szCs w:val="18"/>
                <w:lang w:val="en-US"/>
              </w:rPr>
            </w:pPr>
          </w:p>
        </w:tc>
      </w:tr>
      <w:tr w:rsidR="00D81D3D" w:rsidRPr="00016DC5" w14:paraId="60F5013F" w14:textId="77777777" w:rsidTr="00BE12AD">
        <w:trPr>
          <w:trHeight w:val="20"/>
          <w:jc w:val="center"/>
        </w:trPr>
        <w:tc>
          <w:tcPr>
            <w:tcW w:w="5382" w:type="dxa"/>
          </w:tcPr>
          <w:p w14:paraId="61B768BF" w14:textId="5F74770A" w:rsidR="00D81D3D" w:rsidRPr="00295D4D" w:rsidRDefault="00D81D3D" w:rsidP="00D81D3D">
            <w:pPr>
              <w:pStyle w:val="Recuodecorpodetexto"/>
              <w:tabs>
                <w:tab w:val="left" w:pos="817"/>
              </w:tabs>
              <w:spacing w:after="0" w:line="320" w:lineRule="exact"/>
              <w:ind w:left="0"/>
              <w:jc w:val="both"/>
              <w:rPr>
                <w:rFonts w:ascii="Verdana" w:hAnsi="Verdana" w:cs="Arial"/>
                <w:bCs/>
                <w:sz w:val="18"/>
                <w:szCs w:val="18"/>
              </w:rPr>
            </w:pPr>
            <w:r w:rsidRPr="00295D4D">
              <w:rPr>
                <w:rFonts w:ascii="Verdana" w:hAnsi="Verdana" w:cs="Arial"/>
                <w:b/>
                <w:sz w:val="18"/>
                <w:szCs w:val="18"/>
              </w:rPr>
              <w:t xml:space="preserve">15. </w:t>
            </w:r>
            <w:r w:rsidRPr="00295D4D">
              <w:rPr>
                <w:rFonts w:ascii="Verdana" w:hAnsi="Verdana" w:cs="Arial"/>
                <w:bCs/>
                <w:sz w:val="18"/>
                <w:szCs w:val="18"/>
              </w:rPr>
              <w:t>O SUBSCRITOR declara, ainda:</w:t>
            </w:r>
          </w:p>
          <w:p w14:paraId="5D5D57C7" w14:textId="77777777" w:rsidR="00D81D3D" w:rsidRPr="00295D4D" w:rsidRDefault="00D81D3D" w:rsidP="00D81D3D">
            <w:pPr>
              <w:pStyle w:val="Recuodecorpodetexto"/>
              <w:tabs>
                <w:tab w:val="left" w:pos="817"/>
              </w:tabs>
              <w:spacing w:after="0" w:line="320" w:lineRule="exact"/>
              <w:ind w:left="0"/>
              <w:jc w:val="both"/>
              <w:rPr>
                <w:rFonts w:ascii="Verdana" w:hAnsi="Verdana" w:cs="Arial"/>
                <w:bCs/>
                <w:sz w:val="18"/>
                <w:szCs w:val="18"/>
              </w:rPr>
            </w:pPr>
          </w:p>
          <w:p w14:paraId="0158A6EA" w14:textId="4F42B941" w:rsidR="00D81D3D" w:rsidRPr="00295D4D" w:rsidRDefault="00D81D3D" w:rsidP="00D81D3D">
            <w:pPr>
              <w:pStyle w:val="Recuodecorpodetexto"/>
              <w:numPr>
                <w:ilvl w:val="0"/>
                <w:numId w:val="27"/>
              </w:numPr>
              <w:tabs>
                <w:tab w:val="left" w:pos="817"/>
              </w:tabs>
              <w:spacing w:after="0" w:line="320" w:lineRule="exact"/>
              <w:ind w:left="0" w:firstLine="0"/>
              <w:jc w:val="both"/>
              <w:rPr>
                <w:rFonts w:ascii="Verdana" w:hAnsi="Verdana" w:cs="Arial"/>
                <w:bCs/>
                <w:sz w:val="18"/>
                <w:szCs w:val="18"/>
              </w:rPr>
            </w:pPr>
            <w:r w:rsidRPr="00295D4D">
              <w:rPr>
                <w:rFonts w:ascii="Verdana" w:hAnsi="Verdana" w:cs="Arial"/>
                <w:bCs/>
                <w:sz w:val="18"/>
                <w:szCs w:val="18"/>
              </w:rPr>
              <w:t xml:space="preserve">que é Acionista da Companhia, conforme verificado na sua posição em custódia na Central Depositária e no </w:t>
            </w:r>
            <w:proofErr w:type="spellStart"/>
            <w:r w:rsidRPr="00295D4D">
              <w:rPr>
                <w:rFonts w:ascii="Verdana" w:hAnsi="Verdana" w:cs="Arial"/>
                <w:bCs/>
                <w:sz w:val="18"/>
                <w:szCs w:val="18"/>
              </w:rPr>
              <w:t>Escriturador</w:t>
            </w:r>
            <w:proofErr w:type="spellEnd"/>
            <w:r w:rsidRPr="00295D4D">
              <w:rPr>
                <w:rFonts w:ascii="Verdana" w:hAnsi="Verdana" w:cs="Arial"/>
                <w:bCs/>
                <w:sz w:val="18"/>
                <w:szCs w:val="18"/>
              </w:rPr>
              <w:t xml:space="preserve"> ao final da Primeira Data de Corte e ao final da Segunda Data de Corte;</w:t>
            </w:r>
          </w:p>
          <w:p w14:paraId="5CA17E4A" w14:textId="77777777" w:rsidR="00D81D3D" w:rsidRPr="00295D4D" w:rsidRDefault="00D81D3D" w:rsidP="00D81D3D">
            <w:pPr>
              <w:pStyle w:val="Recuodecorpodetexto"/>
              <w:tabs>
                <w:tab w:val="left" w:pos="817"/>
              </w:tabs>
              <w:spacing w:after="0" w:line="320" w:lineRule="exact"/>
              <w:ind w:left="0"/>
              <w:jc w:val="both"/>
              <w:rPr>
                <w:rFonts w:ascii="Verdana" w:hAnsi="Verdana" w:cs="Arial"/>
                <w:bCs/>
                <w:sz w:val="18"/>
                <w:szCs w:val="18"/>
              </w:rPr>
            </w:pPr>
          </w:p>
          <w:p w14:paraId="1B80BB55" w14:textId="18E5AE19" w:rsidR="00D81D3D" w:rsidRPr="00295D4D" w:rsidRDefault="00D81D3D" w:rsidP="00D81D3D">
            <w:pPr>
              <w:pStyle w:val="Recuodecorpodetexto"/>
              <w:numPr>
                <w:ilvl w:val="0"/>
                <w:numId w:val="27"/>
              </w:numPr>
              <w:tabs>
                <w:tab w:val="left" w:pos="817"/>
              </w:tabs>
              <w:spacing w:after="0" w:line="320" w:lineRule="exact"/>
              <w:ind w:left="0" w:firstLine="0"/>
              <w:jc w:val="both"/>
              <w:rPr>
                <w:rFonts w:ascii="Verdana" w:hAnsi="Verdana" w:cs="Arial"/>
                <w:bCs/>
                <w:sz w:val="18"/>
                <w:szCs w:val="18"/>
              </w:rPr>
            </w:pPr>
            <w:r w:rsidRPr="00295D4D">
              <w:rPr>
                <w:rFonts w:ascii="Verdana" w:hAnsi="Verdana" w:cs="Arial"/>
                <w:bCs/>
                <w:sz w:val="18"/>
                <w:szCs w:val="18"/>
              </w:rPr>
              <w:t xml:space="preserve">que está ciente que fazem jus ao Direito de Prioridade aqueles que sejam considerados Acionistas na Primeira Data de Corte, na respectiva proporção de suas participações acionárias no total do capital social da Companhia, calculada de acordo com as respectivas posições acionárias na Segunda Data de Corte; </w:t>
            </w:r>
          </w:p>
          <w:p w14:paraId="5BFFCD7E" w14:textId="77777777" w:rsidR="00D81D3D" w:rsidRPr="00295D4D" w:rsidRDefault="00D81D3D" w:rsidP="00D81D3D">
            <w:pPr>
              <w:pStyle w:val="Recuodecorpodetexto"/>
              <w:tabs>
                <w:tab w:val="left" w:pos="817"/>
              </w:tabs>
              <w:spacing w:after="0" w:line="320" w:lineRule="exact"/>
              <w:ind w:left="0"/>
              <w:jc w:val="both"/>
              <w:rPr>
                <w:rFonts w:ascii="Verdana" w:hAnsi="Verdana" w:cs="Arial"/>
                <w:bCs/>
                <w:sz w:val="18"/>
                <w:szCs w:val="18"/>
              </w:rPr>
            </w:pPr>
          </w:p>
          <w:p w14:paraId="0CA91E01" w14:textId="77777777" w:rsidR="00D81D3D" w:rsidRDefault="00D81D3D" w:rsidP="00D81D3D">
            <w:pPr>
              <w:pStyle w:val="Recuodecorpodetexto"/>
              <w:numPr>
                <w:ilvl w:val="0"/>
                <w:numId w:val="27"/>
              </w:numPr>
              <w:tabs>
                <w:tab w:val="left" w:pos="817"/>
              </w:tabs>
              <w:spacing w:after="0" w:line="320" w:lineRule="exact"/>
              <w:ind w:left="0" w:firstLine="0"/>
              <w:jc w:val="both"/>
              <w:rPr>
                <w:rFonts w:ascii="Verdana" w:hAnsi="Verdana" w:cs="Arial"/>
                <w:bCs/>
                <w:sz w:val="18"/>
                <w:szCs w:val="18"/>
              </w:rPr>
            </w:pPr>
            <w:r w:rsidRPr="00295D4D">
              <w:rPr>
                <w:rFonts w:ascii="Verdana" w:hAnsi="Verdana" w:cs="Arial"/>
                <w:bCs/>
                <w:sz w:val="18"/>
                <w:szCs w:val="18"/>
              </w:rPr>
              <w:t xml:space="preserve">que está ciente de que caso pretenda assegurar que sua respectiva participação acionária não seja reduzida, independentemente da quantidade de Ações efetivamente colocadas na Oferta, deverá considerar o Limite de Subscrição Proporcional; </w:t>
            </w:r>
          </w:p>
          <w:p w14:paraId="4EF0BD4A" w14:textId="77777777" w:rsidR="00D81D3D" w:rsidRDefault="00D81D3D" w:rsidP="00D81D3D">
            <w:pPr>
              <w:pStyle w:val="PargrafodaLista"/>
              <w:rPr>
                <w:rFonts w:ascii="Verdana" w:hAnsi="Verdana" w:cs="Arial"/>
                <w:bCs/>
                <w:sz w:val="18"/>
                <w:szCs w:val="18"/>
              </w:rPr>
            </w:pPr>
          </w:p>
          <w:p w14:paraId="6F18759B" w14:textId="0E86363B" w:rsidR="00D81D3D" w:rsidRDefault="00D81D3D" w:rsidP="00D81D3D">
            <w:pPr>
              <w:pStyle w:val="Recuodecorpodetexto"/>
              <w:numPr>
                <w:ilvl w:val="0"/>
                <w:numId w:val="27"/>
              </w:numPr>
              <w:tabs>
                <w:tab w:val="left" w:pos="817"/>
              </w:tabs>
              <w:spacing w:after="0" w:line="320" w:lineRule="exact"/>
              <w:ind w:left="0" w:firstLine="0"/>
              <w:jc w:val="both"/>
              <w:rPr>
                <w:rFonts w:ascii="Verdana" w:hAnsi="Verdana" w:cs="Arial"/>
                <w:bCs/>
                <w:sz w:val="18"/>
                <w:szCs w:val="18"/>
              </w:rPr>
            </w:pPr>
            <w:r>
              <w:rPr>
                <w:rFonts w:ascii="Verdana" w:hAnsi="Verdana" w:cs="Arial"/>
                <w:bCs/>
                <w:sz w:val="18"/>
                <w:szCs w:val="18"/>
              </w:rPr>
              <w:t xml:space="preserve">que </w:t>
            </w:r>
            <w:r w:rsidRPr="00A65D16">
              <w:rPr>
                <w:rFonts w:ascii="Verdana" w:hAnsi="Verdana" w:cs="Arial"/>
                <w:bCs/>
                <w:sz w:val="18"/>
                <w:szCs w:val="18"/>
              </w:rPr>
              <w:t xml:space="preserve">está plenamente ciente que a Oferta integra o Plano de Reestruturação da Companhia nos Estados Unidos, sob o </w:t>
            </w:r>
            <w:proofErr w:type="spellStart"/>
            <w:r w:rsidRPr="00A65D16">
              <w:rPr>
                <w:rFonts w:ascii="Verdana" w:hAnsi="Verdana" w:cs="Arial"/>
                <w:bCs/>
                <w:i/>
                <w:iCs/>
                <w:sz w:val="18"/>
                <w:szCs w:val="18"/>
              </w:rPr>
              <w:t>Chapter</w:t>
            </w:r>
            <w:proofErr w:type="spellEnd"/>
            <w:r w:rsidRPr="00A65D16">
              <w:rPr>
                <w:rFonts w:ascii="Verdana" w:hAnsi="Verdana" w:cs="Arial"/>
                <w:bCs/>
                <w:i/>
                <w:iCs/>
                <w:sz w:val="18"/>
                <w:szCs w:val="18"/>
              </w:rPr>
              <w:t xml:space="preserve"> 11</w:t>
            </w:r>
            <w:r w:rsidRPr="00A65D16">
              <w:rPr>
                <w:rFonts w:ascii="Verdana" w:hAnsi="Verdana" w:cs="Arial"/>
                <w:bCs/>
                <w:sz w:val="18"/>
                <w:szCs w:val="18"/>
              </w:rPr>
              <w:t xml:space="preserve"> do United States </w:t>
            </w:r>
            <w:proofErr w:type="spellStart"/>
            <w:r w:rsidRPr="00A65D16">
              <w:rPr>
                <w:rFonts w:ascii="Verdana" w:hAnsi="Verdana" w:cs="Arial"/>
                <w:bCs/>
                <w:i/>
                <w:iCs/>
                <w:sz w:val="18"/>
                <w:szCs w:val="18"/>
              </w:rPr>
              <w:t>Bankruptcy</w:t>
            </w:r>
            <w:proofErr w:type="spellEnd"/>
            <w:r w:rsidRPr="00A65D16">
              <w:rPr>
                <w:rFonts w:ascii="Verdana" w:hAnsi="Verdana" w:cs="Arial"/>
                <w:bCs/>
                <w:i/>
                <w:iCs/>
                <w:sz w:val="18"/>
                <w:szCs w:val="18"/>
              </w:rPr>
              <w:t xml:space="preserve"> </w:t>
            </w:r>
            <w:proofErr w:type="spellStart"/>
            <w:r w:rsidRPr="00A65D16">
              <w:rPr>
                <w:rFonts w:ascii="Verdana" w:hAnsi="Verdana" w:cs="Arial"/>
                <w:bCs/>
                <w:i/>
                <w:iCs/>
                <w:sz w:val="18"/>
                <w:szCs w:val="18"/>
              </w:rPr>
              <w:t>Code</w:t>
            </w:r>
            <w:proofErr w:type="spellEnd"/>
            <w:r w:rsidRPr="00A65D16">
              <w:rPr>
                <w:rFonts w:ascii="Verdana" w:hAnsi="Verdana" w:cs="Arial"/>
                <w:bCs/>
                <w:sz w:val="18"/>
                <w:szCs w:val="18"/>
              </w:rPr>
              <w:t xml:space="preserve">; </w:t>
            </w:r>
          </w:p>
          <w:p w14:paraId="1864AF00" w14:textId="77777777" w:rsidR="00D81D3D" w:rsidRDefault="00D81D3D" w:rsidP="00D81D3D">
            <w:pPr>
              <w:pStyle w:val="PargrafodaLista"/>
              <w:rPr>
                <w:rFonts w:ascii="Verdana" w:hAnsi="Verdana" w:cs="Arial"/>
                <w:bCs/>
                <w:sz w:val="18"/>
                <w:szCs w:val="18"/>
              </w:rPr>
            </w:pPr>
          </w:p>
          <w:p w14:paraId="41FF386D" w14:textId="77777777" w:rsidR="00016DC5" w:rsidRDefault="00016DC5" w:rsidP="00D81D3D">
            <w:pPr>
              <w:pStyle w:val="PargrafodaLista"/>
              <w:rPr>
                <w:rFonts w:ascii="Verdana" w:hAnsi="Verdana" w:cs="Arial"/>
                <w:bCs/>
                <w:sz w:val="18"/>
                <w:szCs w:val="18"/>
              </w:rPr>
            </w:pPr>
          </w:p>
          <w:p w14:paraId="7430A063" w14:textId="41A8F6F7" w:rsidR="00D81D3D" w:rsidRPr="00295D4D" w:rsidRDefault="00D81D3D" w:rsidP="00D81D3D">
            <w:pPr>
              <w:pStyle w:val="Recuodecorpodetexto"/>
              <w:numPr>
                <w:ilvl w:val="0"/>
                <w:numId w:val="27"/>
              </w:numPr>
              <w:tabs>
                <w:tab w:val="left" w:pos="817"/>
              </w:tabs>
              <w:spacing w:after="0" w:line="320" w:lineRule="exact"/>
              <w:ind w:left="0" w:firstLine="0"/>
              <w:jc w:val="both"/>
              <w:rPr>
                <w:rFonts w:ascii="Verdana" w:hAnsi="Verdana" w:cs="Arial"/>
                <w:bCs/>
                <w:sz w:val="18"/>
                <w:szCs w:val="18"/>
              </w:rPr>
            </w:pPr>
            <w:r>
              <w:rPr>
                <w:rFonts w:ascii="Verdana" w:hAnsi="Verdana" w:cs="Arial"/>
                <w:bCs/>
                <w:sz w:val="18"/>
                <w:szCs w:val="18"/>
              </w:rPr>
              <w:t xml:space="preserve">que </w:t>
            </w:r>
            <w:r w:rsidRPr="00A65D16">
              <w:rPr>
                <w:rFonts w:ascii="Verdana" w:hAnsi="Verdana" w:cs="Arial"/>
                <w:bCs/>
                <w:sz w:val="18"/>
                <w:szCs w:val="18"/>
              </w:rPr>
              <w:t>tem plena ciência que foi realizada auditoria legal (</w:t>
            </w:r>
            <w:proofErr w:type="spellStart"/>
            <w:r w:rsidRPr="00A65D16">
              <w:rPr>
                <w:rFonts w:ascii="Verdana" w:hAnsi="Verdana" w:cs="Arial"/>
                <w:bCs/>
                <w:i/>
                <w:iCs/>
                <w:sz w:val="18"/>
                <w:szCs w:val="18"/>
              </w:rPr>
              <w:t>due</w:t>
            </w:r>
            <w:proofErr w:type="spellEnd"/>
            <w:r w:rsidRPr="00A65D16">
              <w:rPr>
                <w:rFonts w:ascii="Verdana" w:hAnsi="Verdana" w:cs="Arial"/>
                <w:bCs/>
                <w:i/>
                <w:iCs/>
                <w:sz w:val="18"/>
                <w:szCs w:val="18"/>
              </w:rPr>
              <w:t xml:space="preserve"> </w:t>
            </w:r>
            <w:proofErr w:type="spellStart"/>
            <w:r w:rsidRPr="00A65D16">
              <w:rPr>
                <w:rFonts w:ascii="Verdana" w:hAnsi="Verdana" w:cs="Arial"/>
                <w:bCs/>
                <w:i/>
                <w:iCs/>
                <w:sz w:val="18"/>
                <w:szCs w:val="18"/>
              </w:rPr>
              <w:t>diligence</w:t>
            </w:r>
            <w:proofErr w:type="spellEnd"/>
            <w:r w:rsidRPr="00A65D16">
              <w:rPr>
                <w:rFonts w:ascii="Verdana" w:hAnsi="Verdana" w:cs="Arial"/>
                <w:bCs/>
                <w:sz w:val="18"/>
                <w:szCs w:val="18"/>
              </w:rPr>
              <w:t xml:space="preserve">) com escopo restrito e bem mais limitado que o usual em operações similares, bem como não realizou qualquer auditoria legal das informações constantes do Formulário de Referência, e que a realização de auditoria jurídica com escopo limitado pode não revelar potenciais contingências da Companhia e/ou riscos aos quais o investimento nas Ações da Companhia está sujeito, sendo que poderão existir pontos </w:t>
            </w:r>
            <w:r w:rsidRPr="00A65D16">
              <w:rPr>
                <w:rFonts w:ascii="Verdana" w:hAnsi="Verdana" w:cs="Arial"/>
                <w:bCs/>
                <w:sz w:val="18"/>
                <w:szCs w:val="18"/>
              </w:rPr>
              <w:lastRenderedPageBreak/>
              <w:t>desconhecidos, não compreendidos e/ou não analisados que impactem negativamente a Companhia e, consequentemente, o investimento nas Ações da Companhia;</w:t>
            </w:r>
            <w:r>
              <w:rPr>
                <w:rFonts w:ascii="Verdana" w:eastAsia="Arial Unicode MS" w:hAnsi="Verdana"/>
                <w:color w:val="000000"/>
              </w:rPr>
              <w:t xml:space="preserve"> </w:t>
            </w:r>
            <w:r w:rsidRPr="00295D4D">
              <w:rPr>
                <w:rFonts w:ascii="Verdana" w:hAnsi="Verdana" w:cs="Arial"/>
                <w:bCs/>
                <w:sz w:val="18"/>
                <w:szCs w:val="18"/>
              </w:rPr>
              <w:t>e</w:t>
            </w:r>
          </w:p>
          <w:p w14:paraId="13ADE16F" w14:textId="77777777" w:rsidR="00D81D3D" w:rsidRPr="00295D4D" w:rsidRDefault="00D81D3D" w:rsidP="00D81D3D">
            <w:pPr>
              <w:pStyle w:val="Recuodecorpodetexto"/>
              <w:tabs>
                <w:tab w:val="left" w:pos="817"/>
              </w:tabs>
              <w:spacing w:after="0" w:line="320" w:lineRule="exact"/>
              <w:ind w:left="0"/>
              <w:jc w:val="both"/>
              <w:rPr>
                <w:rFonts w:ascii="Verdana" w:hAnsi="Verdana" w:cs="Arial"/>
                <w:bCs/>
                <w:sz w:val="18"/>
                <w:szCs w:val="18"/>
              </w:rPr>
            </w:pPr>
          </w:p>
          <w:p w14:paraId="2418E879" w14:textId="750EF331" w:rsidR="00D81D3D" w:rsidRPr="00295D4D" w:rsidRDefault="00D81D3D" w:rsidP="00D81D3D">
            <w:pPr>
              <w:pStyle w:val="Recuodecorpodetexto"/>
              <w:numPr>
                <w:ilvl w:val="0"/>
                <w:numId w:val="27"/>
              </w:numPr>
              <w:tabs>
                <w:tab w:val="left" w:pos="817"/>
              </w:tabs>
              <w:spacing w:after="0" w:line="320" w:lineRule="exact"/>
              <w:ind w:left="0" w:firstLine="0"/>
              <w:jc w:val="both"/>
              <w:rPr>
                <w:rFonts w:ascii="Verdana" w:hAnsi="Verdana" w:cs="Arial"/>
                <w:bCs/>
                <w:sz w:val="18"/>
                <w:szCs w:val="18"/>
              </w:rPr>
            </w:pPr>
            <w:r w:rsidRPr="00295D4D">
              <w:rPr>
                <w:rFonts w:ascii="Verdana" w:hAnsi="Verdana" w:cs="Arial"/>
                <w:bCs/>
                <w:sz w:val="18"/>
                <w:szCs w:val="18"/>
              </w:rPr>
              <w:t>que está ciente dos mecanismos para a apresentação deste Pedido de Subscrição Prioritária, conforme descritos neste Pedido de Subscrição Prioritária e no Fato Relevante, inclusive dos procedimentos internos de seu Agente de Custódia.</w:t>
            </w:r>
          </w:p>
        </w:tc>
        <w:tc>
          <w:tcPr>
            <w:tcW w:w="5168" w:type="dxa"/>
          </w:tcPr>
          <w:p w14:paraId="7137BCF5" w14:textId="49F13F72" w:rsidR="00D81D3D" w:rsidRPr="00295D4D" w:rsidRDefault="00D81D3D" w:rsidP="00D81D3D">
            <w:pPr>
              <w:pStyle w:val="Recuodecorpodetexto"/>
              <w:tabs>
                <w:tab w:val="left" w:pos="817"/>
              </w:tabs>
              <w:spacing w:after="0" w:line="320" w:lineRule="exact"/>
              <w:ind w:left="0"/>
              <w:jc w:val="both"/>
              <w:rPr>
                <w:rFonts w:ascii="Verdana" w:hAnsi="Verdana" w:cs="Arial"/>
                <w:bCs/>
                <w:sz w:val="18"/>
                <w:szCs w:val="18"/>
              </w:rPr>
            </w:pPr>
            <w:r w:rsidRPr="00295D4D">
              <w:rPr>
                <w:rFonts w:ascii="Verdana" w:hAnsi="Verdana" w:cs="Arial"/>
                <w:b/>
                <w:sz w:val="18"/>
                <w:szCs w:val="18"/>
              </w:rPr>
              <w:lastRenderedPageBreak/>
              <w:t>15.</w:t>
            </w:r>
            <w:r w:rsidRPr="00295D4D">
              <w:rPr>
                <w:rFonts w:ascii="Verdana" w:hAnsi="Verdana" w:cs="Arial"/>
                <w:sz w:val="18"/>
                <w:szCs w:val="18"/>
              </w:rPr>
              <w:t xml:space="preserve"> </w:t>
            </w:r>
            <w:r w:rsidRPr="00295D4D">
              <w:rPr>
                <w:rFonts w:ascii="Verdana" w:hAnsi="Verdana" w:cs="Arial"/>
                <w:bCs/>
                <w:sz w:val="18"/>
                <w:szCs w:val="18"/>
              </w:rPr>
              <w:t xml:space="preserve">The SUBSCRIBER declares </w:t>
            </w:r>
            <w:proofErr w:type="spellStart"/>
            <w:r w:rsidRPr="00295D4D">
              <w:rPr>
                <w:rFonts w:ascii="Verdana" w:hAnsi="Verdana" w:cs="Arial"/>
                <w:bCs/>
                <w:sz w:val="18"/>
                <w:szCs w:val="18"/>
              </w:rPr>
              <w:t>that</w:t>
            </w:r>
            <w:proofErr w:type="spellEnd"/>
            <w:r w:rsidRPr="00295D4D">
              <w:rPr>
                <w:rFonts w:ascii="Verdana" w:hAnsi="Verdana" w:cs="Arial"/>
                <w:bCs/>
                <w:sz w:val="18"/>
                <w:szCs w:val="18"/>
              </w:rPr>
              <w:t>:</w:t>
            </w:r>
          </w:p>
          <w:p w14:paraId="28730151" w14:textId="77777777" w:rsidR="00D81D3D" w:rsidRPr="00295D4D" w:rsidRDefault="00D81D3D" w:rsidP="00D81D3D">
            <w:pPr>
              <w:pStyle w:val="Recuodecorpodetexto"/>
              <w:tabs>
                <w:tab w:val="left" w:pos="817"/>
              </w:tabs>
              <w:spacing w:after="0" w:line="320" w:lineRule="exact"/>
              <w:ind w:left="0"/>
              <w:jc w:val="both"/>
              <w:rPr>
                <w:rFonts w:ascii="Verdana" w:hAnsi="Verdana" w:cs="Arial"/>
                <w:bCs/>
                <w:sz w:val="18"/>
                <w:szCs w:val="18"/>
              </w:rPr>
            </w:pPr>
          </w:p>
          <w:p w14:paraId="67FBAF4C" w14:textId="250F716E" w:rsidR="00D81D3D" w:rsidRPr="00295D4D" w:rsidRDefault="00D81D3D" w:rsidP="00D81D3D">
            <w:pPr>
              <w:pStyle w:val="Recuodecorpodetexto"/>
              <w:numPr>
                <w:ilvl w:val="0"/>
                <w:numId w:val="28"/>
              </w:numPr>
              <w:tabs>
                <w:tab w:val="left" w:pos="817"/>
              </w:tabs>
              <w:spacing w:after="0" w:line="320" w:lineRule="exact"/>
              <w:ind w:left="0" w:firstLine="0"/>
              <w:jc w:val="both"/>
              <w:rPr>
                <w:rFonts w:ascii="Verdana" w:hAnsi="Verdana" w:cs="Arial"/>
                <w:bCs/>
                <w:sz w:val="18"/>
                <w:szCs w:val="18"/>
                <w:lang w:val="en-US"/>
              </w:rPr>
            </w:pPr>
            <w:proofErr w:type="gramStart"/>
            <w:r w:rsidRPr="00295D4D">
              <w:rPr>
                <w:rFonts w:ascii="Verdana" w:hAnsi="Verdana" w:cs="Arial"/>
                <w:bCs/>
                <w:sz w:val="18"/>
                <w:szCs w:val="18"/>
                <w:lang w:val="en-US"/>
              </w:rPr>
              <w:t>Is</w:t>
            </w:r>
            <w:proofErr w:type="gramEnd"/>
            <w:r w:rsidRPr="00295D4D">
              <w:rPr>
                <w:rFonts w:ascii="Verdana" w:hAnsi="Verdana" w:cs="Arial"/>
                <w:bCs/>
                <w:sz w:val="18"/>
                <w:szCs w:val="18"/>
                <w:lang w:val="en-US"/>
              </w:rPr>
              <w:t xml:space="preserve"> a shareholder of the Company, according to its custody position on the Depositary Center and the </w:t>
            </w:r>
            <w:r w:rsidR="008A1AF9" w:rsidRPr="008A1AF9">
              <w:rPr>
                <w:rFonts w:ascii="Verdana" w:hAnsi="Verdana" w:cs="Arial"/>
                <w:bCs/>
                <w:sz w:val="18"/>
                <w:szCs w:val="18"/>
                <w:lang w:val="en-US"/>
              </w:rPr>
              <w:t>Bookkeeping Agent</w:t>
            </w:r>
            <w:r w:rsidRPr="00295D4D">
              <w:rPr>
                <w:rFonts w:ascii="Verdana" w:hAnsi="Verdana" w:cs="Arial"/>
                <w:bCs/>
                <w:sz w:val="18"/>
                <w:szCs w:val="18"/>
                <w:lang w:val="en-US"/>
              </w:rPr>
              <w:t xml:space="preserve"> on the First </w:t>
            </w:r>
            <w:r w:rsidR="008A1AF9">
              <w:rPr>
                <w:rFonts w:ascii="Verdana" w:hAnsi="Verdana" w:cs="Arial"/>
                <w:bCs/>
                <w:sz w:val="18"/>
                <w:szCs w:val="18"/>
                <w:lang w:val="en-US"/>
              </w:rPr>
              <w:t xml:space="preserve">Cut-off </w:t>
            </w:r>
            <w:r w:rsidRPr="00295D4D">
              <w:rPr>
                <w:rFonts w:ascii="Verdana" w:hAnsi="Verdana" w:cs="Arial"/>
                <w:bCs/>
                <w:sz w:val="18"/>
                <w:szCs w:val="18"/>
                <w:lang w:val="en-US"/>
              </w:rPr>
              <w:t xml:space="preserve">Date and on the Second </w:t>
            </w:r>
            <w:r w:rsidR="008A1AF9">
              <w:rPr>
                <w:rFonts w:ascii="Verdana" w:hAnsi="Verdana" w:cs="Arial"/>
                <w:bCs/>
                <w:sz w:val="18"/>
                <w:szCs w:val="18"/>
                <w:lang w:val="en-US"/>
              </w:rPr>
              <w:t xml:space="preserve">Cut-off </w:t>
            </w:r>
            <w:proofErr w:type="gramStart"/>
            <w:r w:rsidRPr="00295D4D">
              <w:rPr>
                <w:rFonts w:ascii="Verdana" w:hAnsi="Verdana" w:cs="Arial"/>
                <w:bCs/>
                <w:sz w:val="18"/>
                <w:szCs w:val="18"/>
                <w:lang w:val="en-US"/>
              </w:rPr>
              <w:t>Date;</w:t>
            </w:r>
            <w:proofErr w:type="gramEnd"/>
            <w:r w:rsidRPr="00295D4D">
              <w:rPr>
                <w:rFonts w:ascii="Verdana" w:hAnsi="Verdana" w:cs="Arial"/>
                <w:bCs/>
                <w:sz w:val="18"/>
                <w:szCs w:val="18"/>
                <w:lang w:val="en-US"/>
              </w:rPr>
              <w:t xml:space="preserve"> </w:t>
            </w:r>
          </w:p>
          <w:p w14:paraId="58359225" w14:textId="77777777" w:rsidR="00D81D3D" w:rsidRPr="00295D4D" w:rsidRDefault="00D81D3D" w:rsidP="00D81D3D">
            <w:pPr>
              <w:pStyle w:val="Recuodecorpodetexto"/>
              <w:tabs>
                <w:tab w:val="left" w:pos="817"/>
              </w:tabs>
              <w:spacing w:after="0" w:line="320" w:lineRule="exact"/>
              <w:ind w:left="0"/>
              <w:jc w:val="both"/>
              <w:rPr>
                <w:rFonts w:ascii="Verdana" w:hAnsi="Verdana" w:cs="Arial"/>
                <w:bCs/>
                <w:sz w:val="18"/>
                <w:szCs w:val="18"/>
                <w:lang w:val="en-US"/>
              </w:rPr>
            </w:pPr>
          </w:p>
          <w:p w14:paraId="21487B88" w14:textId="1D434C8E" w:rsidR="00D81D3D" w:rsidRPr="00295D4D" w:rsidRDefault="00D81D3D" w:rsidP="00D81D3D">
            <w:pPr>
              <w:pStyle w:val="Recuodecorpodetexto"/>
              <w:numPr>
                <w:ilvl w:val="0"/>
                <w:numId w:val="28"/>
              </w:numPr>
              <w:tabs>
                <w:tab w:val="left" w:pos="817"/>
              </w:tabs>
              <w:spacing w:after="0" w:line="320" w:lineRule="exact"/>
              <w:ind w:left="0" w:firstLine="0"/>
              <w:jc w:val="both"/>
              <w:rPr>
                <w:rFonts w:ascii="Verdana" w:hAnsi="Verdana" w:cs="Arial"/>
                <w:bCs/>
                <w:sz w:val="18"/>
                <w:szCs w:val="18"/>
                <w:lang w:val="en-US"/>
              </w:rPr>
            </w:pPr>
            <w:r w:rsidRPr="00295D4D">
              <w:rPr>
                <w:rFonts w:ascii="Verdana" w:hAnsi="Verdana" w:cs="Arial"/>
                <w:bCs/>
                <w:sz w:val="18"/>
                <w:szCs w:val="18"/>
                <w:lang w:val="en-US"/>
              </w:rPr>
              <w:t xml:space="preserve">is aware that </w:t>
            </w:r>
            <w:proofErr w:type="gramStart"/>
            <w:r w:rsidRPr="00295D4D">
              <w:rPr>
                <w:rFonts w:ascii="Verdana" w:hAnsi="Verdana" w:cs="Arial"/>
                <w:bCs/>
                <w:sz w:val="18"/>
                <w:szCs w:val="18"/>
                <w:lang w:val="en-US"/>
              </w:rPr>
              <w:t>are considered shareholders</w:t>
            </w:r>
            <w:proofErr w:type="gramEnd"/>
            <w:r w:rsidRPr="00295D4D">
              <w:rPr>
                <w:rFonts w:ascii="Verdana" w:hAnsi="Verdana" w:cs="Arial"/>
                <w:bCs/>
                <w:sz w:val="18"/>
                <w:szCs w:val="18"/>
                <w:lang w:val="en-US"/>
              </w:rPr>
              <w:t xml:space="preserve"> and have de </w:t>
            </w:r>
            <w:r w:rsidRPr="00295D4D">
              <w:rPr>
                <w:rFonts w:ascii="Verdana" w:hAnsi="Verdana" w:cs="Arial"/>
                <w:sz w:val="18"/>
                <w:szCs w:val="18"/>
                <w:lang w:val="en-US"/>
              </w:rPr>
              <w:t>Priority Subscription Right</w:t>
            </w:r>
            <w:r w:rsidRPr="00295D4D">
              <w:rPr>
                <w:rFonts w:ascii="Verdana" w:hAnsi="Verdana" w:cs="Arial"/>
                <w:bCs/>
                <w:sz w:val="18"/>
                <w:szCs w:val="18"/>
                <w:lang w:val="en-US"/>
              </w:rPr>
              <w:t xml:space="preserve"> those who </w:t>
            </w:r>
            <w:r w:rsidRPr="00295D4D">
              <w:rPr>
                <w:rFonts w:ascii="Verdana" w:hAnsi="Verdana" w:cs="Arial"/>
                <w:sz w:val="18"/>
                <w:szCs w:val="18"/>
                <w:lang w:val="en-US"/>
              </w:rPr>
              <w:t xml:space="preserve">holds Company’s shares at the First </w:t>
            </w:r>
            <w:r w:rsidR="008A1AF9">
              <w:rPr>
                <w:rFonts w:ascii="Verdana" w:hAnsi="Verdana" w:cs="Arial"/>
                <w:sz w:val="18"/>
                <w:szCs w:val="18"/>
                <w:lang w:val="en-US"/>
              </w:rPr>
              <w:t xml:space="preserve">Cut-off </w:t>
            </w:r>
            <w:r w:rsidRPr="00295D4D">
              <w:rPr>
                <w:rFonts w:ascii="Verdana" w:hAnsi="Verdana" w:cs="Arial"/>
                <w:sz w:val="18"/>
                <w:szCs w:val="18"/>
                <w:lang w:val="en-US"/>
              </w:rPr>
              <w:t xml:space="preserve">Date, based on each shareholder’s proportional interest in the Company’s preferred share capital at the end of the Second </w:t>
            </w:r>
            <w:r w:rsidR="008A1AF9">
              <w:rPr>
                <w:rFonts w:ascii="Verdana" w:hAnsi="Verdana" w:cs="Arial"/>
                <w:sz w:val="18"/>
                <w:szCs w:val="18"/>
                <w:lang w:val="en-US"/>
              </w:rPr>
              <w:t xml:space="preserve">Cut-off </w:t>
            </w:r>
            <w:proofErr w:type="gramStart"/>
            <w:r w:rsidRPr="00295D4D">
              <w:rPr>
                <w:rFonts w:ascii="Verdana" w:hAnsi="Verdana" w:cs="Arial"/>
                <w:sz w:val="18"/>
                <w:szCs w:val="18"/>
                <w:lang w:val="en-US"/>
              </w:rPr>
              <w:t>Date;</w:t>
            </w:r>
            <w:proofErr w:type="gramEnd"/>
          </w:p>
          <w:p w14:paraId="0E65FDE7" w14:textId="77777777" w:rsidR="00D81D3D" w:rsidRPr="00295D4D" w:rsidRDefault="00D81D3D" w:rsidP="00D81D3D">
            <w:pPr>
              <w:pStyle w:val="Recuodecorpodetexto"/>
              <w:tabs>
                <w:tab w:val="left" w:pos="817"/>
              </w:tabs>
              <w:spacing w:after="0" w:line="320" w:lineRule="exact"/>
              <w:ind w:left="0"/>
              <w:jc w:val="both"/>
              <w:rPr>
                <w:rFonts w:ascii="Verdana" w:hAnsi="Verdana" w:cs="Arial"/>
                <w:bCs/>
                <w:sz w:val="18"/>
                <w:szCs w:val="18"/>
                <w:lang w:val="en-US"/>
              </w:rPr>
            </w:pPr>
          </w:p>
          <w:p w14:paraId="59A408A7" w14:textId="45ADAA7F" w:rsidR="00D81D3D" w:rsidRDefault="00D81D3D" w:rsidP="00D81D3D">
            <w:pPr>
              <w:pStyle w:val="Recuodecorpodetexto"/>
              <w:numPr>
                <w:ilvl w:val="0"/>
                <w:numId w:val="28"/>
              </w:numPr>
              <w:tabs>
                <w:tab w:val="left" w:pos="817"/>
              </w:tabs>
              <w:spacing w:after="0" w:line="320" w:lineRule="exact"/>
              <w:ind w:left="0" w:firstLine="0"/>
              <w:jc w:val="both"/>
              <w:rPr>
                <w:rFonts w:ascii="Verdana" w:hAnsi="Verdana" w:cs="Arial"/>
                <w:bCs/>
                <w:sz w:val="18"/>
                <w:szCs w:val="18"/>
                <w:lang w:val="en-US"/>
              </w:rPr>
            </w:pPr>
            <w:r w:rsidRPr="00295D4D">
              <w:rPr>
                <w:rFonts w:ascii="Verdana" w:hAnsi="Verdana" w:cs="Arial"/>
                <w:sz w:val="18"/>
                <w:szCs w:val="18"/>
                <w:lang w:val="en-US"/>
              </w:rPr>
              <w:t>Is aware that,</w:t>
            </w:r>
            <w:r w:rsidRPr="00295D4D">
              <w:rPr>
                <w:rFonts w:ascii="Verdana" w:hAnsi="Verdana" w:cs="Arial"/>
                <w:bCs/>
                <w:sz w:val="18"/>
                <w:szCs w:val="18"/>
                <w:lang w:val="en-US"/>
              </w:rPr>
              <w:t xml:space="preserve"> to ensure that its participation in the</w:t>
            </w:r>
            <w:r w:rsidRPr="00295D4D">
              <w:rPr>
                <w:rFonts w:ascii="Verdana" w:hAnsi="Verdana" w:cs="Arial"/>
                <w:sz w:val="18"/>
                <w:szCs w:val="18"/>
                <w:lang w:val="en-US"/>
              </w:rPr>
              <w:t xml:space="preserve"> Company’s preferred share capital is not reduced, </w:t>
            </w:r>
            <w:r w:rsidRPr="00295D4D">
              <w:rPr>
                <w:rFonts w:ascii="Verdana" w:hAnsi="Verdana" w:cs="Arial"/>
                <w:bCs/>
                <w:sz w:val="18"/>
                <w:szCs w:val="18"/>
                <w:lang w:val="en-US"/>
              </w:rPr>
              <w:t xml:space="preserve">regardless of the amount of shares actually placed on the Offering, </w:t>
            </w:r>
            <w:r w:rsidR="002B5212" w:rsidRPr="00295D4D">
              <w:rPr>
                <w:rFonts w:ascii="Verdana" w:hAnsi="Verdana" w:cs="Arial"/>
                <w:bCs/>
                <w:sz w:val="18"/>
                <w:szCs w:val="18"/>
                <w:lang w:val="en-US"/>
              </w:rPr>
              <w:t xml:space="preserve">the Proportional Subscription Limit shall </w:t>
            </w:r>
            <w:r w:rsidR="002B5212">
              <w:rPr>
                <w:rFonts w:ascii="Verdana" w:hAnsi="Verdana" w:cs="Arial"/>
                <w:bCs/>
                <w:sz w:val="18"/>
                <w:szCs w:val="18"/>
                <w:lang w:val="en-US"/>
              </w:rPr>
              <w:t xml:space="preserve">be </w:t>
            </w:r>
            <w:r w:rsidR="002B5212" w:rsidRPr="00295D4D">
              <w:rPr>
                <w:rFonts w:ascii="Verdana" w:hAnsi="Verdana" w:cs="Arial"/>
                <w:bCs/>
                <w:sz w:val="18"/>
                <w:szCs w:val="18"/>
                <w:lang w:val="en-US"/>
              </w:rPr>
              <w:t>take</w:t>
            </w:r>
            <w:r w:rsidR="002B5212">
              <w:rPr>
                <w:rFonts w:ascii="Verdana" w:hAnsi="Verdana" w:cs="Arial"/>
                <w:bCs/>
                <w:sz w:val="18"/>
                <w:szCs w:val="18"/>
                <w:lang w:val="en-US"/>
              </w:rPr>
              <w:t>n</w:t>
            </w:r>
            <w:r w:rsidR="002B5212" w:rsidRPr="00295D4D">
              <w:rPr>
                <w:rFonts w:ascii="Verdana" w:hAnsi="Verdana" w:cs="Arial"/>
                <w:bCs/>
                <w:sz w:val="18"/>
                <w:szCs w:val="18"/>
                <w:lang w:val="en-US"/>
              </w:rPr>
              <w:t xml:space="preserve"> into consideration</w:t>
            </w:r>
            <w:r w:rsidRPr="00295D4D">
              <w:rPr>
                <w:rFonts w:ascii="Verdana" w:hAnsi="Verdana" w:cs="Arial"/>
                <w:bCs/>
                <w:sz w:val="18"/>
                <w:szCs w:val="18"/>
                <w:lang w:val="en-US"/>
              </w:rPr>
              <w:t xml:space="preserve">; </w:t>
            </w:r>
          </w:p>
          <w:p w14:paraId="17022538" w14:textId="77777777" w:rsidR="00D81D3D" w:rsidRDefault="00D81D3D" w:rsidP="00D81D3D">
            <w:pPr>
              <w:pStyle w:val="Recuodecorpodetexto"/>
              <w:tabs>
                <w:tab w:val="left" w:pos="817"/>
              </w:tabs>
              <w:spacing w:after="0" w:line="320" w:lineRule="exact"/>
              <w:ind w:left="0"/>
              <w:jc w:val="both"/>
              <w:rPr>
                <w:rFonts w:ascii="Verdana" w:hAnsi="Verdana" w:cs="Arial"/>
                <w:bCs/>
                <w:sz w:val="18"/>
                <w:szCs w:val="18"/>
                <w:lang w:val="en-US"/>
              </w:rPr>
            </w:pPr>
          </w:p>
          <w:p w14:paraId="319F3E60" w14:textId="6C2A7F66" w:rsidR="00D81D3D" w:rsidRDefault="00D81D3D" w:rsidP="00D81D3D">
            <w:pPr>
              <w:pStyle w:val="Recuodecorpodetexto"/>
              <w:numPr>
                <w:ilvl w:val="0"/>
                <w:numId w:val="28"/>
              </w:numPr>
              <w:tabs>
                <w:tab w:val="left" w:pos="817"/>
              </w:tabs>
              <w:spacing w:line="320" w:lineRule="exact"/>
              <w:ind w:left="0" w:firstLine="0"/>
              <w:jc w:val="both"/>
              <w:rPr>
                <w:rFonts w:ascii="Verdana" w:hAnsi="Verdana" w:cs="Arial"/>
                <w:bCs/>
                <w:sz w:val="18"/>
                <w:szCs w:val="18"/>
                <w:lang w:val="en-US"/>
              </w:rPr>
            </w:pPr>
            <w:r w:rsidRPr="00A65D16">
              <w:rPr>
                <w:rFonts w:ascii="Verdana" w:hAnsi="Verdana" w:cs="Arial"/>
                <w:sz w:val="18"/>
                <w:szCs w:val="18"/>
                <w:lang w:val="en-US"/>
              </w:rPr>
              <w:t>is fully aware that</w:t>
            </w:r>
            <w:r w:rsidRPr="00A65D16">
              <w:rPr>
                <w:rFonts w:ascii="Verdana" w:hAnsi="Verdana" w:cs="Arial"/>
                <w:bCs/>
                <w:sz w:val="18"/>
                <w:szCs w:val="18"/>
                <w:lang w:val="en-US"/>
              </w:rPr>
              <w:t xml:space="preserve"> the Offering forms part of the Company’s Restructuring Plan in the United States under Chapter 11 of the United States Bankruptcy Code; </w:t>
            </w:r>
          </w:p>
          <w:p w14:paraId="4528B321" w14:textId="77777777" w:rsidR="00D81D3D" w:rsidRDefault="00D81D3D" w:rsidP="00D81D3D">
            <w:pPr>
              <w:pStyle w:val="PargrafodaLista"/>
              <w:rPr>
                <w:rFonts w:ascii="Verdana" w:hAnsi="Verdana" w:cs="Arial"/>
                <w:bCs/>
                <w:sz w:val="18"/>
                <w:szCs w:val="18"/>
                <w:lang w:val="en-US"/>
              </w:rPr>
            </w:pPr>
          </w:p>
          <w:p w14:paraId="5B4517A7" w14:textId="7AE4EFE1" w:rsidR="00D81D3D" w:rsidRDefault="00D81D3D" w:rsidP="00D81D3D">
            <w:pPr>
              <w:pStyle w:val="Recuodecorpodetexto"/>
              <w:numPr>
                <w:ilvl w:val="0"/>
                <w:numId w:val="28"/>
              </w:numPr>
              <w:tabs>
                <w:tab w:val="left" w:pos="817"/>
              </w:tabs>
              <w:spacing w:line="320" w:lineRule="exact"/>
              <w:ind w:left="0" w:firstLine="0"/>
              <w:jc w:val="both"/>
              <w:rPr>
                <w:rFonts w:ascii="Verdana" w:hAnsi="Verdana" w:cs="Arial"/>
                <w:bCs/>
                <w:sz w:val="18"/>
                <w:szCs w:val="18"/>
                <w:lang w:val="en-US"/>
              </w:rPr>
            </w:pPr>
            <w:r w:rsidRPr="00A65D16">
              <w:rPr>
                <w:rFonts w:ascii="Verdana" w:hAnsi="Verdana" w:cs="Arial"/>
                <w:sz w:val="18"/>
                <w:szCs w:val="18"/>
                <w:lang w:val="en-US"/>
              </w:rPr>
              <w:t>is fully aware that a legal due diligence review was conducted with a restricted scope, which was significantly more limited than the scope typically performed in similar transactions, and that no legal due diligence was carried out with respect to the information contained in the Reference Form. The Investor further understands that a limited</w:t>
            </w:r>
            <w:r w:rsidRPr="00A65D16">
              <w:rPr>
                <w:rFonts w:ascii="Verdana" w:hAnsi="Verdana" w:cs="Arial"/>
                <w:sz w:val="18"/>
                <w:szCs w:val="18"/>
                <w:lang w:val="en-US"/>
              </w:rPr>
              <w:noBreakHyphen/>
              <w:t xml:space="preserve">scope legal due diligence may fail to identify potential contingencies of the Company and/or risks to which an </w:t>
            </w:r>
            <w:r w:rsidRPr="00A65D16">
              <w:rPr>
                <w:rFonts w:ascii="Verdana" w:hAnsi="Verdana" w:cs="Arial"/>
                <w:sz w:val="18"/>
                <w:szCs w:val="18"/>
                <w:lang w:val="en-US"/>
              </w:rPr>
              <w:lastRenderedPageBreak/>
              <w:t xml:space="preserve">investment in the Company’s Shares may be subject, and that there may exist matters that are unknown, not understood and/or not reviewed which could negatively impact the Company and, consequently, the Investor’s investment in the Company’s Shares; </w:t>
            </w:r>
            <w:r w:rsidRPr="00A65D16">
              <w:rPr>
                <w:rFonts w:ascii="Verdana" w:hAnsi="Verdana" w:cs="Arial"/>
                <w:bCs/>
                <w:sz w:val="18"/>
                <w:szCs w:val="18"/>
                <w:lang w:val="en-US"/>
              </w:rPr>
              <w:t>and</w:t>
            </w:r>
          </w:p>
          <w:p w14:paraId="30D62858" w14:textId="77777777" w:rsidR="00016DC5" w:rsidRDefault="00016DC5" w:rsidP="00FA3016">
            <w:pPr>
              <w:pStyle w:val="PargrafodaLista"/>
              <w:rPr>
                <w:rFonts w:ascii="Verdana" w:hAnsi="Verdana" w:cs="Arial"/>
                <w:bCs/>
                <w:sz w:val="18"/>
                <w:szCs w:val="18"/>
                <w:lang w:val="en-US"/>
              </w:rPr>
            </w:pPr>
          </w:p>
          <w:p w14:paraId="6A9B400C" w14:textId="605E867C" w:rsidR="00D81D3D" w:rsidRPr="00295D4D" w:rsidRDefault="00D81D3D" w:rsidP="00D81D3D">
            <w:pPr>
              <w:pStyle w:val="Recuodecorpodetexto"/>
              <w:numPr>
                <w:ilvl w:val="0"/>
                <w:numId w:val="28"/>
              </w:numPr>
              <w:tabs>
                <w:tab w:val="left" w:pos="817"/>
              </w:tabs>
              <w:spacing w:after="0" w:line="320" w:lineRule="exact"/>
              <w:ind w:left="0" w:firstLine="0"/>
              <w:jc w:val="both"/>
              <w:rPr>
                <w:rFonts w:ascii="Verdana" w:hAnsi="Verdana" w:cs="Arial"/>
                <w:sz w:val="18"/>
                <w:szCs w:val="18"/>
                <w:lang w:val="en-US"/>
              </w:rPr>
            </w:pPr>
            <w:r w:rsidRPr="00295D4D">
              <w:rPr>
                <w:rFonts w:ascii="Verdana" w:hAnsi="Verdana" w:cs="Arial"/>
                <w:sz w:val="18"/>
                <w:szCs w:val="18"/>
                <w:lang w:val="en-US"/>
              </w:rPr>
              <w:t xml:space="preserve">Is aware of the procedures concerning this Priority Subscription Order, as disclosed hereof, on </w:t>
            </w:r>
            <w:proofErr w:type="gramStart"/>
            <w:r w:rsidRPr="00295D4D">
              <w:rPr>
                <w:rFonts w:ascii="Verdana" w:hAnsi="Verdana" w:cs="Arial"/>
                <w:sz w:val="18"/>
                <w:szCs w:val="18"/>
                <w:lang w:val="en-US"/>
              </w:rPr>
              <w:t>the Material</w:t>
            </w:r>
            <w:proofErr w:type="gramEnd"/>
            <w:r w:rsidRPr="00295D4D">
              <w:rPr>
                <w:rFonts w:ascii="Verdana" w:hAnsi="Verdana" w:cs="Arial"/>
                <w:sz w:val="18"/>
                <w:szCs w:val="18"/>
                <w:lang w:val="en-US"/>
              </w:rPr>
              <w:t xml:space="preserve"> Fact and by its Custody Agent.</w:t>
            </w:r>
          </w:p>
        </w:tc>
      </w:tr>
      <w:tr w:rsidR="00D81D3D" w:rsidRPr="00016DC5" w14:paraId="0A53C7F4" w14:textId="77777777" w:rsidTr="00BE12AD">
        <w:trPr>
          <w:trHeight w:val="20"/>
          <w:jc w:val="center"/>
        </w:trPr>
        <w:tc>
          <w:tcPr>
            <w:tcW w:w="5382" w:type="dxa"/>
          </w:tcPr>
          <w:p w14:paraId="360F2715" w14:textId="77777777" w:rsidR="00D81D3D" w:rsidRPr="00295D4D" w:rsidRDefault="00D81D3D" w:rsidP="00D81D3D">
            <w:pPr>
              <w:pStyle w:val="Recuodecorpodetexto"/>
              <w:tabs>
                <w:tab w:val="left" w:pos="817"/>
              </w:tabs>
              <w:spacing w:after="0" w:line="320" w:lineRule="exact"/>
              <w:ind w:left="0"/>
              <w:jc w:val="both"/>
              <w:rPr>
                <w:rFonts w:ascii="Verdana" w:hAnsi="Verdana" w:cs="Arial"/>
                <w:sz w:val="18"/>
                <w:szCs w:val="18"/>
                <w:lang w:val="en-US"/>
              </w:rPr>
            </w:pPr>
          </w:p>
        </w:tc>
        <w:tc>
          <w:tcPr>
            <w:tcW w:w="5168" w:type="dxa"/>
          </w:tcPr>
          <w:p w14:paraId="7E5B297E" w14:textId="77777777" w:rsidR="00D81D3D" w:rsidRPr="00295D4D" w:rsidRDefault="00D81D3D" w:rsidP="00D81D3D">
            <w:pPr>
              <w:pStyle w:val="Recuodecorpodetexto"/>
              <w:tabs>
                <w:tab w:val="left" w:pos="817"/>
              </w:tabs>
              <w:spacing w:after="0" w:line="320" w:lineRule="exact"/>
              <w:ind w:left="0"/>
              <w:jc w:val="both"/>
              <w:rPr>
                <w:rFonts w:ascii="Verdana" w:hAnsi="Verdana" w:cs="Arial"/>
                <w:b/>
                <w:sz w:val="18"/>
                <w:szCs w:val="18"/>
                <w:lang w:val="en-US"/>
              </w:rPr>
            </w:pPr>
          </w:p>
        </w:tc>
      </w:tr>
      <w:tr w:rsidR="00D81D3D" w:rsidRPr="00016DC5" w14:paraId="6031811E" w14:textId="77777777" w:rsidTr="00BE12AD">
        <w:trPr>
          <w:trHeight w:val="20"/>
          <w:jc w:val="center"/>
        </w:trPr>
        <w:tc>
          <w:tcPr>
            <w:tcW w:w="5382" w:type="dxa"/>
          </w:tcPr>
          <w:p w14:paraId="29172263" w14:textId="77777777" w:rsidR="00D81D3D" w:rsidRDefault="00D81D3D" w:rsidP="00D81D3D">
            <w:pPr>
              <w:pStyle w:val="Recuodecorpodetexto"/>
              <w:tabs>
                <w:tab w:val="left" w:pos="817"/>
              </w:tabs>
              <w:spacing w:after="0" w:line="320" w:lineRule="exact"/>
              <w:ind w:left="0"/>
              <w:jc w:val="both"/>
              <w:rPr>
                <w:rFonts w:ascii="Verdana" w:hAnsi="Verdana" w:cs="Arial"/>
                <w:sz w:val="18"/>
                <w:szCs w:val="18"/>
              </w:rPr>
            </w:pPr>
            <w:r w:rsidRPr="00295D4D">
              <w:rPr>
                <w:rFonts w:ascii="Verdana" w:hAnsi="Verdana" w:cs="Arial"/>
                <w:b/>
                <w:sz w:val="18"/>
                <w:szCs w:val="18"/>
              </w:rPr>
              <w:t>16.</w:t>
            </w:r>
            <w:r w:rsidRPr="00295D4D">
              <w:rPr>
                <w:rFonts w:ascii="Verdana" w:hAnsi="Verdana" w:cs="Arial"/>
                <w:sz w:val="18"/>
                <w:szCs w:val="18"/>
              </w:rPr>
              <w:tab/>
              <w:t>Este Pedido de Subscrição Prioritária constitui o único e integral negócio entre as partes abaixo, com relação ao objeto nele previsto.</w:t>
            </w:r>
          </w:p>
          <w:p w14:paraId="43500E57" w14:textId="77777777" w:rsidR="00D81D3D" w:rsidRDefault="00D81D3D" w:rsidP="00D81D3D">
            <w:pPr>
              <w:pStyle w:val="Recuodecorpodetexto"/>
              <w:tabs>
                <w:tab w:val="left" w:pos="817"/>
              </w:tabs>
              <w:spacing w:after="0" w:line="320" w:lineRule="exact"/>
              <w:ind w:left="0"/>
              <w:jc w:val="both"/>
              <w:rPr>
                <w:rFonts w:ascii="Verdana" w:hAnsi="Verdana" w:cs="Arial"/>
                <w:sz w:val="18"/>
                <w:szCs w:val="18"/>
              </w:rPr>
            </w:pPr>
          </w:p>
          <w:p w14:paraId="4B2A94D0" w14:textId="37178EDC" w:rsidR="00D81D3D" w:rsidRPr="00A65D16" w:rsidRDefault="00D81D3D" w:rsidP="00D81D3D">
            <w:pPr>
              <w:pStyle w:val="Recuodecorpodetexto"/>
              <w:spacing w:line="320" w:lineRule="exact"/>
              <w:ind w:left="33"/>
              <w:jc w:val="both"/>
              <w:rPr>
                <w:rFonts w:ascii="Verdana" w:hAnsi="Verdana" w:cs="Arial"/>
                <w:b/>
                <w:bCs/>
                <w:sz w:val="18"/>
                <w:szCs w:val="18"/>
              </w:rPr>
            </w:pPr>
            <w:r w:rsidRPr="00A65D16">
              <w:rPr>
                <w:rFonts w:ascii="Verdana" w:hAnsi="Verdana" w:cs="Arial"/>
                <w:b/>
                <w:bCs/>
                <w:sz w:val="18"/>
                <w:szCs w:val="18"/>
              </w:rPr>
              <w:t xml:space="preserve">17. </w:t>
            </w:r>
            <w:r w:rsidRPr="00BD2F27">
              <w:rPr>
                <w:rFonts w:ascii="Verdana" w:hAnsi="Verdana" w:cs="Arial"/>
                <w:sz w:val="18"/>
                <w:szCs w:val="18"/>
              </w:rPr>
              <w:t>O Acionista declara estar ciente de que cabe exclusivamente a ele realizar o cálculo da quantidade de Cestas de Ações a serem subscritas e integralizadas no âmbito da Oferta Prioritária, responsabilizando</w:t>
            </w:r>
            <w:r w:rsidRPr="00BD2F27">
              <w:rPr>
                <w:rFonts w:ascii="Verdana" w:hAnsi="Verdana" w:cs="Arial"/>
                <w:sz w:val="18"/>
                <w:szCs w:val="18"/>
              </w:rPr>
              <w:noBreakHyphen/>
              <w:t>se de forma única e exclusiva por tal cálculo. O número de Cestas de Ações deverá corresponder ao resultado da divisão da posição acionária detida pelo Acionista na Segunda Data de Corte pelo fator aplicável, sendo eventuais frações automaticamente arredondadas para baixo na Data de Liquidação.</w:t>
            </w:r>
            <w:r w:rsidRPr="00BD2F27">
              <w:rPr>
                <w:rFonts w:ascii="Segoe UI" w:hAnsi="Segoe UI" w:cs="Segoe UI"/>
                <w:sz w:val="21"/>
                <w:szCs w:val="21"/>
              </w:rPr>
              <w:t xml:space="preserve"> </w:t>
            </w:r>
            <w:r w:rsidRPr="00BD2F27">
              <w:rPr>
                <w:rFonts w:ascii="Verdana" w:hAnsi="Verdana" w:cs="Arial"/>
                <w:sz w:val="18"/>
                <w:szCs w:val="18"/>
              </w:rPr>
              <w:t>O Acionista isenta, de forma plena e irrevogável, o Coordenador da Oferta de qualquer responsabilidade pela realização, verificação, revisão, conferência ou validação do referido cálculo, bem como por eventuais erros, omissões, inconsistências ou consequências dele decorrentes.</w:t>
            </w:r>
          </w:p>
        </w:tc>
        <w:tc>
          <w:tcPr>
            <w:tcW w:w="5168" w:type="dxa"/>
          </w:tcPr>
          <w:p w14:paraId="22CBF343" w14:textId="77777777" w:rsidR="00D81D3D" w:rsidRDefault="00D81D3D" w:rsidP="00D81D3D">
            <w:pPr>
              <w:pStyle w:val="Recuodecorpodetexto"/>
              <w:tabs>
                <w:tab w:val="left" w:pos="817"/>
              </w:tabs>
              <w:spacing w:after="0" w:line="320" w:lineRule="exact"/>
              <w:ind w:left="0"/>
              <w:jc w:val="both"/>
              <w:rPr>
                <w:rFonts w:ascii="Verdana" w:hAnsi="Verdana" w:cs="Arial"/>
                <w:sz w:val="18"/>
                <w:szCs w:val="18"/>
                <w:lang w:val="en-US"/>
              </w:rPr>
            </w:pPr>
            <w:r w:rsidRPr="00295D4D">
              <w:rPr>
                <w:rFonts w:ascii="Verdana" w:hAnsi="Verdana" w:cs="Arial"/>
                <w:b/>
                <w:sz w:val="18"/>
                <w:szCs w:val="18"/>
                <w:lang w:val="en-US"/>
              </w:rPr>
              <w:t xml:space="preserve">16. </w:t>
            </w:r>
            <w:r w:rsidRPr="00295D4D">
              <w:rPr>
                <w:rFonts w:ascii="Verdana" w:hAnsi="Verdana" w:cs="Arial"/>
                <w:sz w:val="18"/>
                <w:szCs w:val="18"/>
                <w:lang w:val="en-US"/>
              </w:rPr>
              <w:t>This Priority Subscription Order constitutes the sole and integral business between the parties below, with respect to the objective provided for therein.</w:t>
            </w:r>
          </w:p>
          <w:p w14:paraId="067DFB26" w14:textId="77777777" w:rsidR="00D81D3D" w:rsidRDefault="00D81D3D" w:rsidP="00D81D3D">
            <w:pPr>
              <w:pStyle w:val="Recuodecorpodetexto"/>
              <w:tabs>
                <w:tab w:val="left" w:pos="817"/>
              </w:tabs>
              <w:spacing w:after="0" w:line="320" w:lineRule="exact"/>
              <w:ind w:left="0"/>
              <w:jc w:val="both"/>
              <w:rPr>
                <w:rFonts w:ascii="Verdana" w:hAnsi="Verdana" w:cs="Arial"/>
                <w:sz w:val="18"/>
                <w:szCs w:val="18"/>
                <w:lang w:val="en-US"/>
              </w:rPr>
            </w:pPr>
          </w:p>
          <w:p w14:paraId="3B9BB9BE" w14:textId="7AEC1EB0" w:rsidR="00D81D3D" w:rsidRPr="00282026" w:rsidRDefault="00D81D3D" w:rsidP="00D81D3D">
            <w:pPr>
              <w:pStyle w:val="Recuodecorpodetexto"/>
              <w:tabs>
                <w:tab w:val="left" w:pos="817"/>
              </w:tabs>
              <w:spacing w:line="320" w:lineRule="exact"/>
              <w:ind w:left="0"/>
              <w:jc w:val="both"/>
              <w:rPr>
                <w:rFonts w:ascii="Verdana" w:hAnsi="Verdana" w:cs="Arial"/>
                <w:sz w:val="18"/>
                <w:szCs w:val="18"/>
                <w:lang w:val="en-US"/>
              </w:rPr>
            </w:pPr>
            <w:r w:rsidRPr="00F328B6">
              <w:rPr>
                <w:rFonts w:ascii="Verdana" w:hAnsi="Verdana" w:cs="Arial"/>
                <w:b/>
                <w:bCs/>
                <w:sz w:val="18"/>
                <w:szCs w:val="18"/>
                <w:lang w:val="en-US"/>
              </w:rPr>
              <w:t>17.</w:t>
            </w:r>
            <w:r>
              <w:rPr>
                <w:rFonts w:ascii="Verdana" w:hAnsi="Verdana" w:cs="Arial"/>
                <w:sz w:val="18"/>
                <w:szCs w:val="18"/>
                <w:lang w:val="en-US"/>
              </w:rPr>
              <w:t xml:space="preserve"> </w:t>
            </w:r>
            <w:r w:rsidRPr="00F328B6">
              <w:rPr>
                <w:rFonts w:ascii="Verdana" w:hAnsi="Verdana" w:cs="Arial"/>
                <w:sz w:val="18"/>
                <w:szCs w:val="18"/>
                <w:lang w:val="en-US"/>
              </w:rPr>
              <w:t xml:space="preserve">The Shareholder acknowledges that it is solely responsible for calculating the number of </w:t>
            </w:r>
            <w:r w:rsidR="00230CAA" w:rsidRPr="003414D5">
              <w:rPr>
                <w:rFonts w:ascii="Verdana" w:hAnsi="Verdana" w:cs="Arial"/>
                <w:bCs/>
                <w:sz w:val="18"/>
                <w:szCs w:val="18"/>
                <w:lang w:val="en-US"/>
              </w:rPr>
              <w:t>Baskets</w:t>
            </w:r>
            <w:r w:rsidR="00230CAA">
              <w:rPr>
                <w:rFonts w:ascii="Verdana" w:hAnsi="Verdana" w:cs="Arial"/>
                <w:bCs/>
                <w:sz w:val="18"/>
                <w:szCs w:val="18"/>
                <w:lang w:val="en-US"/>
              </w:rPr>
              <w:t xml:space="preserve"> of Shares</w:t>
            </w:r>
            <w:r w:rsidRPr="00F328B6">
              <w:rPr>
                <w:rFonts w:ascii="Verdana" w:hAnsi="Verdana" w:cs="Arial"/>
                <w:sz w:val="18"/>
                <w:szCs w:val="18"/>
                <w:lang w:val="en-US"/>
              </w:rPr>
              <w:t xml:space="preserve"> to be subscribed for and paid in under the Priority Offering, and assumes full and exclusive responsibility for such calculation. The number of </w:t>
            </w:r>
            <w:r w:rsidR="00230CAA" w:rsidRPr="003414D5">
              <w:rPr>
                <w:rFonts w:ascii="Verdana" w:hAnsi="Verdana" w:cs="Arial"/>
                <w:bCs/>
                <w:sz w:val="18"/>
                <w:szCs w:val="18"/>
                <w:lang w:val="en-US"/>
              </w:rPr>
              <w:t>Baskets</w:t>
            </w:r>
            <w:r w:rsidR="00230CAA">
              <w:rPr>
                <w:rFonts w:ascii="Verdana" w:hAnsi="Verdana" w:cs="Arial"/>
                <w:bCs/>
                <w:sz w:val="18"/>
                <w:szCs w:val="18"/>
                <w:lang w:val="en-US"/>
              </w:rPr>
              <w:t xml:space="preserve"> of Shares</w:t>
            </w:r>
            <w:r w:rsidRPr="00F328B6">
              <w:rPr>
                <w:rFonts w:ascii="Verdana" w:hAnsi="Verdana" w:cs="Arial"/>
                <w:sz w:val="18"/>
                <w:szCs w:val="18"/>
                <w:lang w:val="en-US"/>
              </w:rPr>
              <w:t xml:space="preserve"> shall correspond to the result obtained by dividing the share position held by the Shareholder on the Second </w:t>
            </w:r>
            <w:r w:rsidR="00156886">
              <w:rPr>
                <w:rFonts w:ascii="Verdana" w:hAnsi="Verdana" w:cs="Arial"/>
                <w:sz w:val="18"/>
                <w:szCs w:val="18"/>
                <w:lang w:val="en-US"/>
              </w:rPr>
              <w:t>Cut-off</w:t>
            </w:r>
            <w:r w:rsidR="00156886" w:rsidRPr="00F328B6">
              <w:rPr>
                <w:rFonts w:ascii="Verdana" w:hAnsi="Verdana" w:cs="Arial"/>
                <w:sz w:val="18"/>
                <w:szCs w:val="18"/>
                <w:lang w:val="en-US"/>
              </w:rPr>
              <w:t xml:space="preserve"> </w:t>
            </w:r>
            <w:r w:rsidRPr="00F328B6">
              <w:rPr>
                <w:rFonts w:ascii="Verdana" w:hAnsi="Verdana" w:cs="Arial"/>
                <w:sz w:val="18"/>
                <w:szCs w:val="18"/>
                <w:lang w:val="en-US"/>
              </w:rPr>
              <w:t>Date by the factor applicable, it being understood that any fractional amounts shall be automatically rounded down on the Settlement Date. The Shareholder fully and irrevocably releases the Underwriter from any responsibility for performing, reviewing, verifying, checking or validating such calculation, as well as for any errors, omissions, inconsistencies or consequences arising therefrom.</w:t>
            </w:r>
          </w:p>
        </w:tc>
      </w:tr>
      <w:tr w:rsidR="00D81D3D" w:rsidRPr="00016DC5" w14:paraId="179C58AC" w14:textId="77777777" w:rsidTr="00BE12AD">
        <w:trPr>
          <w:trHeight w:val="20"/>
          <w:jc w:val="center"/>
        </w:trPr>
        <w:tc>
          <w:tcPr>
            <w:tcW w:w="5382" w:type="dxa"/>
          </w:tcPr>
          <w:p w14:paraId="66334698" w14:textId="77777777" w:rsidR="00D81D3D" w:rsidRPr="00295D4D" w:rsidRDefault="00D81D3D" w:rsidP="00D81D3D">
            <w:pPr>
              <w:pStyle w:val="Recuodecorpodetexto"/>
              <w:tabs>
                <w:tab w:val="left" w:pos="817"/>
              </w:tabs>
              <w:spacing w:after="0" w:line="320" w:lineRule="exact"/>
              <w:ind w:left="0"/>
              <w:jc w:val="both"/>
              <w:rPr>
                <w:rFonts w:ascii="Verdana" w:hAnsi="Verdana" w:cs="Arial"/>
                <w:sz w:val="18"/>
                <w:szCs w:val="18"/>
                <w:lang w:val="en-US"/>
              </w:rPr>
            </w:pPr>
          </w:p>
        </w:tc>
        <w:tc>
          <w:tcPr>
            <w:tcW w:w="5168" w:type="dxa"/>
          </w:tcPr>
          <w:p w14:paraId="5828283C" w14:textId="77777777" w:rsidR="00D81D3D" w:rsidRPr="00295D4D" w:rsidRDefault="00D81D3D" w:rsidP="00D81D3D">
            <w:pPr>
              <w:pStyle w:val="Recuodecorpodetexto"/>
              <w:tabs>
                <w:tab w:val="left" w:pos="817"/>
              </w:tabs>
              <w:spacing w:after="0" w:line="320" w:lineRule="exact"/>
              <w:ind w:left="0"/>
              <w:jc w:val="both"/>
              <w:rPr>
                <w:rFonts w:ascii="Verdana" w:hAnsi="Verdana" w:cs="Arial"/>
                <w:b/>
                <w:sz w:val="18"/>
                <w:szCs w:val="18"/>
                <w:lang w:val="en-US"/>
              </w:rPr>
            </w:pPr>
          </w:p>
        </w:tc>
      </w:tr>
      <w:tr w:rsidR="00D81D3D" w:rsidRPr="00016DC5" w14:paraId="114FBF7E" w14:textId="77777777" w:rsidTr="00BE12AD">
        <w:trPr>
          <w:trHeight w:val="20"/>
          <w:jc w:val="center"/>
        </w:trPr>
        <w:tc>
          <w:tcPr>
            <w:tcW w:w="5382" w:type="dxa"/>
          </w:tcPr>
          <w:p w14:paraId="76EABA74" w14:textId="15D0812E" w:rsidR="00D81D3D" w:rsidRPr="00295D4D" w:rsidRDefault="00D81D3D" w:rsidP="005520B3">
            <w:pPr>
              <w:pStyle w:val="Recuodecorpodetexto"/>
              <w:tabs>
                <w:tab w:val="left" w:pos="817"/>
              </w:tabs>
              <w:spacing w:after="0" w:line="320" w:lineRule="exact"/>
              <w:ind w:left="0"/>
              <w:jc w:val="both"/>
              <w:rPr>
                <w:rFonts w:ascii="Verdana" w:hAnsi="Verdana" w:cs="Arial"/>
                <w:sz w:val="18"/>
                <w:szCs w:val="18"/>
              </w:rPr>
            </w:pPr>
            <w:r w:rsidRPr="00295D4D">
              <w:rPr>
                <w:rFonts w:ascii="Verdana" w:hAnsi="Verdana" w:cs="Arial"/>
                <w:b/>
                <w:sz w:val="18"/>
                <w:szCs w:val="18"/>
              </w:rPr>
              <w:t>1</w:t>
            </w:r>
            <w:r>
              <w:rPr>
                <w:rFonts w:ascii="Verdana" w:hAnsi="Verdana" w:cs="Arial"/>
                <w:b/>
                <w:sz w:val="18"/>
                <w:szCs w:val="18"/>
              </w:rPr>
              <w:t>8</w:t>
            </w:r>
            <w:r w:rsidRPr="00295D4D">
              <w:rPr>
                <w:rFonts w:ascii="Verdana" w:hAnsi="Verdana" w:cs="Arial"/>
                <w:b/>
                <w:sz w:val="18"/>
                <w:szCs w:val="18"/>
              </w:rPr>
              <w:t>.</w:t>
            </w:r>
            <w:r w:rsidRPr="00295D4D">
              <w:rPr>
                <w:rFonts w:ascii="Verdana" w:hAnsi="Verdana" w:cs="Arial"/>
                <w:sz w:val="18"/>
                <w:szCs w:val="18"/>
              </w:rPr>
              <w:tab/>
              <w:t>Nos termos do artigo 85, parágrafo 2º, da Lei das Sociedades por Ações e da Resolução da CVM nº 27, de 8 de abril de 2021, a assinatura do Pedido de Subscrição Prioritária será o documento de aceitação por meio do qual o Acionista aceitará participar da Oferta. Dessa forma, a subscrição das Ações pelos Acionistas</w:t>
            </w:r>
            <w:r>
              <w:rPr>
                <w:rFonts w:ascii="Verdana" w:hAnsi="Verdana" w:cs="Arial"/>
                <w:sz w:val="18"/>
                <w:szCs w:val="18"/>
              </w:rPr>
              <w:t>, em formato de Cestas de Ações,</w:t>
            </w:r>
            <w:r w:rsidRPr="00295D4D">
              <w:rPr>
                <w:rFonts w:ascii="Verdana" w:hAnsi="Verdana" w:cs="Arial"/>
                <w:sz w:val="18"/>
                <w:szCs w:val="18"/>
              </w:rPr>
              <w:t xml:space="preserve"> será formalizada por meio do sistema de registro da B3, sendo, portanto, dispensada a apresentação de boletim de subscrição.</w:t>
            </w:r>
          </w:p>
        </w:tc>
        <w:tc>
          <w:tcPr>
            <w:tcW w:w="5168" w:type="dxa"/>
          </w:tcPr>
          <w:p w14:paraId="2BF5D742" w14:textId="7769629B" w:rsidR="00D81D3D" w:rsidRPr="00295D4D" w:rsidRDefault="00D81D3D" w:rsidP="00D81D3D">
            <w:pPr>
              <w:pStyle w:val="Recuodecorpodetexto"/>
              <w:tabs>
                <w:tab w:val="left" w:pos="817"/>
              </w:tabs>
              <w:spacing w:after="0" w:line="320" w:lineRule="exact"/>
              <w:ind w:left="0"/>
              <w:jc w:val="both"/>
              <w:rPr>
                <w:rFonts w:ascii="Verdana" w:hAnsi="Verdana" w:cs="Arial"/>
                <w:b/>
                <w:sz w:val="18"/>
                <w:szCs w:val="18"/>
                <w:lang w:val="en-US"/>
              </w:rPr>
            </w:pPr>
            <w:r w:rsidRPr="00295D4D">
              <w:rPr>
                <w:rFonts w:ascii="Verdana" w:hAnsi="Verdana" w:cs="Arial"/>
                <w:b/>
                <w:sz w:val="18"/>
                <w:szCs w:val="18"/>
                <w:lang w:val="en-US"/>
              </w:rPr>
              <w:t>1</w:t>
            </w:r>
            <w:r>
              <w:rPr>
                <w:rFonts w:ascii="Verdana" w:hAnsi="Verdana" w:cs="Arial"/>
                <w:b/>
                <w:sz w:val="18"/>
                <w:szCs w:val="18"/>
                <w:lang w:val="en-US"/>
              </w:rPr>
              <w:t>8</w:t>
            </w:r>
            <w:r w:rsidRPr="00295D4D">
              <w:rPr>
                <w:rFonts w:ascii="Verdana" w:hAnsi="Verdana" w:cs="Arial"/>
                <w:b/>
                <w:sz w:val="18"/>
                <w:szCs w:val="18"/>
                <w:lang w:val="en-US"/>
              </w:rPr>
              <w:t xml:space="preserve">. </w:t>
            </w:r>
            <w:r w:rsidRPr="00295D4D">
              <w:rPr>
                <w:rFonts w:ascii="Verdana" w:hAnsi="Verdana" w:cs="Arial"/>
                <w:sz w:val="18"/>
                <w:szCs w:val="18"/>
                <w:lang w:val="en"/>
              </w:rPr>
              <w:t>Pursuant to article 85, paragraph 2, of the Brazilian Corporation Law and CVM Resolution No. 27, of April 8, 2021, the signature of the Priority Subscription Order will be the acceptance document through which the Shareholder will accept to participate in the Offer. In this way, the subscription of Shares by the Shareholders</w:t>
            </w:r>
            <w:r>
              <w:rPr>
                <w:rFonts w:ascii="Verdana" w:hAnsi="Verdana" w:cs="Arial"/>
                <w:sz w:val="18"/>
                <w:szCs w:val="18"/>
                <w:lang w:val="en"/>
              </w:rPr>
              <w:t>, in format of Shares Barket,</w:t>
            </w:r>
            <w:r w:rsidRPr="00295D4D">
              <w:rPr>
                <w:rFonts w:ascii="Verdana" w:hAnsi="Verdana" w:cs="Arial"/>
                <w:sz w:val="18"/>
                <w:szCs w:val="18"/>
                <w:lang w:val="en"/>
              </w:rPr>
              <w:t xml:space="preserve"> will be formalized through the B3 registration system, therefore, the submission of the subscription bulletin will not be required.</w:t>
            </w:r>
          </w:p>
        </w:tc>
      </w:tr>
      <w:tr w:rsidR="00CC1D86" w:rsidRPr="00016DC5" w14:paraId="44E0ADB5" w14:textId="77777777" w:rsidTr="00BE12AD">
        <w:trPr>
          <w:trHeight w:val="20"/>
          <w:jc w:val="center"/>
        </w:trPr>
        <w:tc>
          <w:tcPr>
            <w:tcW w:w="5382" w:type="dxa"/>
          </w:tcPr>
          <w:p w14:paraId="4692D6B0" w14:textId="77777777" w:rsidR="00CC1D86" w:rsidRPr="00887C9E" w:rsidRDefault="00CC1D86" w:rsidP="00D81D3D">
            <w:pPr>
              <w:pStyle w:val="Recuodecorpodetexto"/>
              <w:tabs>
                <w:tab w:val="left" w:pos="817"/>
              </w:tabs>
              <w:spacing w:after="0" w:line="320" w:lineRule="exact"/>
              <w:ind w:left="0"/>
              <w:jc w:val="both"/>
              <w:rPr>
                <w:rFonts w:ascii="Verdana" w:hAnsi="Verdana" w:cs="Arial"/>
                <w:b/>
                <w:sz w:val="18"/>
                <w:szCs w:val="18"/>
                <w:lang w:val="en-US"/>
              </w:rPr>
            </w:pPr>
          </w:p>
        </w:tc>
        <w:tc>
          <w:tcPr>
            <w:tcW w:w="5168" w:type="dxa"/>
          </w:tcPr>
          <w:p w14:paraId="0A42EF3D" w14:textId="77777777" w:rsidR="00CC1D86" w:rsidRPr="00295D4D" w:rsidRDefault="00CC1D86" w:rsidP="00D81D3D">
            <w:pPr>
              <w:pStyle w:val="Recuodecorpodetexto"/>
              <w:tabs>
                <w:tab w:val="left" w:pos="817"/>
              </w:tabs>
              <w:spacing w:after="0" w:line="320" w:lineRule="exact"/>
              <w:ind w:left="0"/>
              <w:jc w:val="both"/>
              <w:rPr>
                <w:rFonts w:ascii="Verdana" w:hAnsi="Verdana" w:cs="Arial"/>
                <w:b/>
                <w:sz w:val="18"/>
                <w:szCs w:val="18"/>
                <w:lang w:val="en-US"/>
              </w:rPr>
            </w:pPr>
          </w:p>
        </w:tc>
      </w:tr>
      <w:tr w:rsidR="00CC1D86" w:rsidRPr="00016DC5" w14:paraId="6FC1287F" w14:textId="77777777" w:rsidTr="00BE12AD">
        <w:trPr>
          <w:trHeight w:val="20"/>
          <w:jc w:val="center"/>
        </w:trPr>
        <w:tc>
          <w:tcPr>
            <w:tcW w:w="5382" w:type="dxa"/>
          </w:tcPr>
          <w:p w14:paraId="269B66B1" w14:textId="4271D0C0" w:rsidR="00CC1D86" w:rsidRPr="00295D4D" w:rsidRDefault="00CC1D86" w:rsidP="00D81D3D">
            <w:pPr>
              <w:pStyle w:val="Recuodecorpodetexto"/>
              <w:tabs>
                <w:tab w:val="left" w:pos="817"/>
              </w:tabs>
              <w:spacing w:after="0" w:line="320" w:lineRule="exact"/>
              <w:ind w:left="0"/>
              <w:jc w:val="both"/>
              <w:rPr>
                <w:rFonts w:ascii="Verdana" w:hAnsi="Verdana" w:cs="Arial"/>
                <w:b/>
                <w:sz w:val="18"/>
                <w:szCs w:val="18"/>
              </w:rPr>
            </w:pPr>
            <w:r w:rsidRPr="00295D4D">
              <w:rPr>
                <w:rFonts w:ascii="Verdana" w:hAnsi="Verdana" w:cs="Arial"/>
                <w:b/>
                <w:sz w:val="18"/>
                <w:szCs w:val="18"/>
              </w:rPr>
              <w:lastRenderedPageBreak/>
              <w:t>1</w:t>
            </w:r>
            <w:r>
              <w:rPr>
                <w:rFonts w:ascii="Verdana" w:hAnsi="Verdana" w:cs="Arial"/>
                <w:b/>
                <w:sz w:val="18"/>
                <w:szCs w:val="18"/>
              </w:rPr>
              <w:t>9</w:t>
            </w:r>
            <w:r w:rsidRPr="00295D4D">
              <w:rPr>
                <w:rFonts w:ascii="Verdana" w:hAnsi="Verdana" w:cs="Arial"/>
                <w:b/>
                <w:sz w:val="18"/>
                <w:szCs w:val="18"/>
              </w:rPr>
              <w:t>.</w:t>
            </w:r>
            <w:r w:rsidRPr="00295D4D">
              <w:rPr>
                <w:rFonts w:ascii="Verdana" w:hAnsi="Verdana" w:cs="Arial"/>
                <w:sz w:val="18"/>
                <w:szCs w:val="18"/>
              </w:rPr>
              <w:tab/>
              <w:t>Fica eleito o foro da cidade de São Paulo, estado de São Paulo, Brasil, para dirimir as questões oriundas deste Pedido de Subscrição Prioritária, com a renúncia expressa a qualquer foro, por mais privilegiado que seja ou venha a ser.</w:t>
            </w:r>
          </w:p>
        </w:tc>
        <w:tc>
          <w:tcPr>
            <w:tcW w:w="5168" w:type="dxa"/>
          </w:tcPr>
          <w:p w14:paraId="32BF4B86" w14:textId="4D78D79E" w:rsidR="00CC1D86" w:rsidRPr="00CC1D86" w:rsidRDefault="00CC1D86" w:rsidP="00D81D3D">
            <w:pPr>
              <w:pStyle w:val="Recuodecorpodetexto"/>
              <w:tabs>
                <w:tab w:val="left" w:pos="817"/>
              </w:tabs>
              <w:spacing w:after="0" w:line="320" w:lineRule="exact"/>
              <w:ind w:left="0"/>
              <w:jc w:val="both"/>
              <w:rPr>
                <w:rFonts w:ascii="Verdana" w:hAnsi="Verdana" w:cs="Arial"/>
                <w:b/>
                <w:sz w:val="18"/>
                <w:szCs w:val="18"/>
                <w:lang w:val="en-US"/>
              </w:rPr>
            </w:pPr>
            <w:r w:rsidRPr="00295D4D">
              <w:rPr>
                <w:rFonts w:ascii="Verdana" w:hAnsi="Verdana" w:cs="Arial"/>
                <w:b/>
                <w:sz w:val="18"/>
                <w:szCs w:val="18"/>
                <w:lang w:val="en-US"/>
              </w:rPr>
              <w:t>1</w:t>
            </w:r>
            <w:r>
              <w:rPr>
                <w:rFonts w:ascii="Verdana" w:hAnsi="Verdana" w:cs="Arial"/>
                <w:b/>
                <w:sz w:val="18"/>
                <w:szCs w:val="18"/>
                <w:lang w:val="en-US"/>
              </w:rPr>
              <w:t>9</w:t>
            </w:r>
            <w:r w:rsidRPr="00295D4D">
              <w:rPr>
                <w:rFonts w:ascii="Verdana" w:hAnsi="Verdana" w:cs="Arial"/>
                <w:b/>
                <w:sz w:val="18"/>
                <w:szCs w:val="18"/>
                <w:lang w:val="en-US"/>
              </w:rPr>
              <w:t xml:space="preserve">. </w:t>
            </w:r>
            <w:r w:rsidRPr="00295D4D">
              <w:rPr>
                <w:rFonts w:ascii="Verdana" w:hAnsi="Verdana" w:cs="Arial"/>
                <w:sz w:val="18"/>
                <w:szCs w:val="18"/>
                <w:lang w:val="en-US"/>
              </w:rPr>
              <w:t>The Forum in the city of São Paulo, state of São Paulo, Brazil, was hereby elected to resolve any issues arising from this Priority Subscription Order, with the express waiver of any forum, however privileged it is or may be.</w:t>
            </w:r>
          </w:p>
        </w:tc>
      </w:tr>
      <w:tr w:rsidR="00D81D3D" w:rsidRPr="00016DC5" w14:paraId="33A0DB26" w14:textId="77777777" w:rsidTr="00BE12AD">
        <w:trPr>
          <w:trHeight w:val="20"/>
          <w:jc w:val="center"/>
        </w:trPr>
        <w:tc>
          <w:tcPr>
            <w:tcW w:w="5382" w:type="dxa"/>
          </w:tcPr>
          <w:p w14:paraId="3B72074F" w14:textId="77777777" w:rsidR="00D81D3D" w:rsidRPr="00CC1D86" w:rsidRDefault="00D81D3D" w:rsidP="00D81D3D">
            <w:pPr>
              <w:pStyle w:val="Estilo3"/>
              <w:tabs>
                <w:tab w:val="left" w:pos="0"/>
                <w:tab w:val="left" w:pos="817"/>
              </w:tabs>
              <w:spacing w:after="0" w:line="320" w:lineRule="exact"/>
              <w:jc w:val="both"/>
              <w:rPr>
                <w:rFonts w:ascii="Verdana" w:hAnsi="Verdana" w:cs="Arial"/>
                <w:b/>
                <w:sz w:val="18"/>
                <w:szCs w:val="18"/>
                <w:lang w:val="en-US"/>
              </w:rPr>
            </w:pPr>
          </w:p>
        </w:tc>
        <w:tc>
          <w:tcPr>
            <w:tcW w:w="5168" w:type="dxa"/>
          </w:tcPr>
          <w:p w14:paraId="208F46EE" w14:textId="77777777" w:rsidR="00D81D3D" w:rsidRPr="00CC1D86" w:rsidRDefault="00D81D3D" w:rsidP="00D81D3D">
            <w:pPr>
              <w:pStyle w:val="Estilo3"/>
              <w:tabs>
                <w:tab w:val="left" w:pos="0"/>
                <w:tab w:val="left" w:pos="817"/>
              </w:tabs>
              <w:spacing w:after="0" w:line="320" w:lineRule="exact"/>
              <w:jc w:val="both"/>
              <w:rPr>
                <w:rFonts w:ascii="Verdana" w:hAnsi="Verdana" w:cs="Arial"/>
                <w:b/>
                <w:sz w:val="18"/>
                <w:szCs w:val="18"/>
                <w:lang w:val="en-US"/>
              </w:rPr>
            </w:pPr>
          </w:p>
        </w:tc>
      </w:tr>
      <w:tr w:rsidR="00D81D3D" w:rsidRPr="00016DC5" w14:paraId="6BF85072" w14:textId="77777777" w:rsidTr="00BE12AD">
        <w:trPr>
          <w:trHeight w:val="20"/>
          <w:jc w:val="center"/>
        </w:trPr>
        <w:tc>
          <w:tcPr>
            <w:tcW w:w="5382" w:type="dxa"/>
          </w:tcPr>
          <w:p w14:paraId="3D040D9B" w14:textId="047A0A71" w:rsidR="00D81D3D" w:rsidRPr="00295D4D" w:rsidRDefault="00D81D3D" w:rsidP="00D81D3D">
            <w:pPr>
              <w:tabs>
                <w:tab w:val="left" w:pos="817"/>
              </w:tabs>
              <w:spacing w:line="320" w:lineRule="exact"/>
              <w:jc w:val="both"/>
              <w:rPr>
                <w:rFonts w:ascii="Verdana" w:hAnsi="Verdana" w:cs="Arial"/>
                <w:b/>
                <w:sz w:val="18"/>
                <w:szCs w:val="18"/>
              </w:rPr>
            </w:pPr>
            <w:r w:rsidRPr="00295D4D">
              <w:rPr>
                <w:rFonts w:ascii="Verdana" w:hAnsi="Verdana" w:cs="Arial"/>
                <w:b/>
                <w:sz w:val="18"/>
                <w:szCs w:val="18"/>
              </w:rPr>
              <w:t>Declaro para todos os fins (i) estar de acordo com as cláusulas contratuais e demais condições expressas neste Pedido de Subscrição Prioritária; (</w:t>
            </w:r>
            <w:proofErr w:type="spellStart"/>
            <w:r w:rsidRPr="00295D4D">
              <w:rPr>
                <w:rFonts w:ascii="Verdana" w:hAnsi="Verdana" w:cs="Arial"/>
                <w:b/>
                <w:sz w:val="18"/>
                <w:szCs w:val="18"/>
              </w:rPr>
              <w:t>ii</w:t>
            </w:r>
            <w:proofErr w:type="spellEnd"/>
            <w:r w:rsidRPr="00295D4D">
              <w:rPr>
                <w:rFonts w:ascii="Verdana" w:hAnsi="Verdana" w:cs="Arial"/>
                <w:b/>
                <w:sz w:val="18"/>
                <w:szCs w:val="18"/>
              </w:rPr>
              <w:t>) ter tido acesso ao Fato Relevante da Oferta; e (</w:t>
            </w:r>
            <w:proofErr w:type="spellStart"/>
            <w:r w:rsidRPr="00295D4D">
              <w:rPr>
                <w:rFonts w:ascii="Verdana" w:hAnsi="Verdana" w:cs="Arial"/>
                <w:b/>
                <w:sz w:val="18"/>
                <w:szCs w:val="18"/>
              </w:rPr>
              <w:t>iii</w:t>
            </w:r>
            <w:proofErr w:type="spellEnd"/>
            <w:r w:rsidRPr="00295D4D">
              <w:rPr>
                <w:rFonts w:ascii="Verdana" w:hAnsi="Verdana" w:cs="Arial"/>
                <w:b/>
                <w:sz w:val="18"/>
                <w:szCs w:val="18"/>
              </w:rPr>
              <w:t>) ter conhecimento do inteiro teor, especialmente os procedimentos relativos ao pagamento do Preço por Ação e à liquidação da Oferta Prioritária, constantes do Fato Relevante da Oferta e as Seções “4. Fatores de Risco”, “12. Capital Social e Valores Mobiliários” constantes do Formulário de Referência da Companhia.</w:t>
            </w:r>
          </w:p>
        </w:tc>
        <w:tc>
          <w:tcPr>
            <w:tcW w:w="5168" w:type="dxa"/>
          </w:tcPr>
          <w:p w14:paraId="5F8AD41D" w14:textId="58EF456D" w:rsidR="00D81D3D" w:rsidRPr="00295D4D" w:rsidRDefault="00D81D3D" w:rsidP="00D81D3D">
            <w:pPr>
              <w:tabs>
                <w:tab w:val="left" w:pos="817"/>
              </w:tabs>
              <w:spacing w:line="320" w:lineRule="exact"/>
              <w:jc w:val="both"/>
              <w:rPr>
                <w:rFonts w:ascii="Verdana" w:hAnsi="Verdana" w:cs="Arial"/>
                <w:b/>
                <w:sz w:val="18"/>
                <w:szCs w:val="18"/>
                <w:lang w:val="en-US"/>
              </w:rPr>
            </w:pPr>
            <w:r w:rsidRPr="00295D4D">
              <w:rPr>
                <w:rFonts w:ascii="Verdana" w:hAnsi="Verdana" w:cs="Arial"/>
                <w:b/>
                <w:sz w:val="18"/>
                <w:szCs w:val="18"/>
                <w:lang w:val="en-US"/>
              </w:rPr>
              <w:t>I hereby state for all purposes (</w:t>
            </w:r>
            <w:proofErr w:type="spellStart"/>
            <w:r w:rsidRPr="00295D4D">
              <w:rPr>
                <w:rFonts w:ascii="Verdana" w:hAnsi="Verdana" w:cs="Arial"/>
                <w:b/>
                <w:sz w:val="18"/>
                <w:szCs w:val="18"/>
                <w:lang w:val="en-US"/>
              </w:rPr>
              <w:t>i</w:t>
            </w:r>
            <w:proofErr w:type="spellEnd"/>
            <w:r w:rsidRPr="00295D4D">
              <w:rPr>
                <w:rFonts w:ascii="Verdana" w:hAnsi="Verdana" w:cs="Arial"/>
                <w:b/>
                <w:sz w:val="18"/>
                <w:szCs w:val="18"/>
                <w:lang w:val="en-US"/>
              </w:rPr>
              <w:t>) to be in agreement with the contractual clauses and other conditions expressed in this Priority Subscription Order; (ii) to have had access to the Material Fact of the Offering; and (iii) to be aware of the entire contents, especially the procedures related to the payment of the Price per Share and the settlement of the Priority Offer, contained in the Material Fact of the Offering and Sections “4. RISK FACTORS”, “12. SHARE CAPITAL AND Transferable Securities” contained in the Company's Reference Form.</w:t>
            </w:r>
          </w:p>
        </w:tc>
      </w:tr>
      <w:tr w:rsidR="00D81D3D" w:rsidRPr="00016DC5" w14:paraId="296411C8" w14:textId="77777777" w:rsidTr="00BE12AD">
        <w:trPr>
          <w:trHeight w:val="20"/>
          <w:jc w:val="center"/>
        </w:trPr>
        <w:tc>
          <w:tcPr>
            <w:tcW w:w="5382" w:type="dxa"/>
          </w:tcPr>
          <w:p w14:paraId="3033258B" w14:textId="77777777" w:rsidR="00D81D3D" w:rsidRPr="00295D4D" w:rsidRDefault="00D81D3D" w:rsidP="00D81D3D">
            <w:pPr>
              <w:tabs>
                <w:tab w:val="left" w:pos="817"/>
              </w:tabs>
              <w:spacing w:line="320" w:lineRule="exact"/>
              <w:rPr>
                <w:rFonts w:ascii="Verdana" w:hAnsi="Verdana" w:cs="Arial"/>
                <w:sz w:val="18"/>
                <w:szCs w:val="18"/>
                <w:lang w:val="en-US"/>
              </w:rPr>
            </w:pPr>
          </w:p>
        </w:tc>
        <w:tc>
          <w:tcPr>
            <w:tcW w:w="5168" w:type="dxa"/>
          </w:tcPr>
          <w:p w14:paraId="3534105A" w14:textId="77777777" w:rsidR="00D81D3D" w:rsidRPr="00295D4D" w:rsidRDefault="00D81D3D" w:rsidP="00D81D3D">
            <w:pPr>
              <w:tabs>
                <w:tab w:val="left" w:pos="817"/>
              </w:tabs>
              <w:spacing w:line="320" w:lineRule="exact"/>
              <w:rPr>
                <w:rFonts w:ascii="Verdana" w:hAnsi="Verdana" w:cs="Arial"/>
                <w:b/>
                <w:sz w:val="18"/>
                <w:szCs w:val="18"/>
                <w:lang w:val="en-US"/>
              </w:rPr>
            </w:pPr>
          </w:p>
        </w:tc>
      </w:tr>
      <w:tr w:rsidR="00D81D3D" w:rsidRPr="0014194B" w14:paraId="00953C1D" w14:textId="77777777" w:rsidTr="00BE12AD">
        <w:trPr>
          <w:trHeight w:val="20"/>
          <w:jc w:val="center"/>
        </w:trPr>
        <w:tc>
          <w:tcPr>
            <w:tcW w:w="5382" w:type="dxa"/>
          </w:tcPr>
          <w:p w14:paraId="7F0AEB43" w14:textId="7777777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rPr>
              <w:t>Local</w:t>
            </w:r>
          </w:p>
        </w:tc>
        <w:tc>
          <w:tcPr>
            <w:tcW w:w="5168" w:type="dxa"/>
          </w:tcPr>
          <w:p w14:paraId="60F05FBA" w14:textId="77777777" w:rsidR="00D81D3D" w:rsidRPr="00295D4D" w:rsidRDefault="00D81D3D" w:rsidP="00D81D3D">
            <w:pPr>
              <w:tabs>
                <w:tab w:val="left" w:pos="817"/>
              </w:tabs>
              <w:spacing w:line="320" w:lineRule="exact"/>
              <w:rPr>
                <w:rFonts w:ascii="Verdana" w:hAnsi="Verdana" w:cs="Arial"/>
                <w:b/>
                <w:sz w:val="18"/>
                <w:szCs w:val="18"/>
                <w:lang w:val="en-US"/>
              </w:rPr>
            </w:pPr>
            <w:r w:rsidRPr="00295D4D">
              <w:rPr>
                <w:rFonts w:ascii="Verdana" w:hAnsi="Verdana" w:cs="Arial"/>
                <w:sz w:val="18"/>
                <w:szCs w:val="18"/>
                <w:lang w:val="en-US"/>
              </w:rPr>
              <w:t>Location</w:t>
            </w:r>
          </w:p>
        </w:tc>
      </w:tr>
      <w:tr w:rsidR="00D81D3D" w:rsidRPr="0014194B" w14:paraId="19A33C75" w14:textId="77777777" w:rsidTr="00BE12AD">
        <w:trPr>
          <w:trHeight w:val="20"/>
          <w:jc w:val="center"/>
        </w:trPr>
        <w:tc>
          <w:tcPr>
            <w:tcW w:w="5382" w:type="dxa"/>
          </w:tcPr>
          <w:sdt>
            <w:sdtPr>
              <w:rPr>
                <w:rFonts w:ascii="Verdana" w:hAnsi="Verdana" w:cs="Arial"/>
                <w:sz w:val="18"/>
                <w:szCs w:val="18"/>
                <w:highlight w:val="lightGray"/>
              </w:rPr>
              <w:id w:val="2000609021"/>
              <w:placeholder>
                <w:docPart w:val="DefaultPlaceholder_-1854013440"/>
              </w:placeholder>
            </w:sdtPr>
            <w:sdtContent>
              <w:p w14:paraId="782FDA55" w14:textId="5A4F9F4F"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Pr>
          <w:sdt>
            <w:sdtPr>
              <w:rPr>
                <w:rFonts w:ascii="Verdana" w:hAnsi="Verdana" w:cs="Arial"/>
                <w:sz w:val="18"/>
                <w:szCs w:val="18"/>
                <w:highlight w:val="lightGray"/>
              </w:rPr>
              <w:id w:val="815525262"/>
              <w:placeholder>
                <w:docPart w:val="DefaultPlaceholder_-1854013440"/>
              </w:placeholder>
            </w:sdtPr>
            <w:sdtContent>
              <w:p w14:paraId="5ED7D8C1" w14:textId="75D21A73" w:rsidR="00D81D3D" w:rsidRPr="00295D4D" w:rsidRDefault="00D81D3D" w:rsidP="00D81D3D">
                <w:pPr>
                  <w:tabs>
                    <w:tab w:val="left" w:pos="817"/>
                  </w:tabs>
                  <w:spacing w:line="320" w:lineRule="exact"/>
                  <w:rPr>
                    <w:rFonts w:ascii="Verdana" w:hAnsi="Verdana" w:cs="Arial"/>
                    <w:b/>
                    <w:sz w:val="18"/>
                    <w:szCs w:val="18"/>
                    <w:lang w:val="en-US"/>
                  </w:rPr>
                </w:pPr>
                <w:r w:rsidRPr="00295D4D">
                  <w:rPr>
                    <w:rFonts w:ascii="Verdana" w:hAnsi="Verdana" w:cs="Arial"/>
                    <w:sz w:val="18"/>
                    <w:szCs w:val="18"/>
                    <w:highlight w:val="lightGray"/>
                  </w:rPr>
                  <w:t>[  ]</w:t>
                </w:r>
              </w:p>
            </w:sdtContent>
          </w:sdt>
        </w:tc>
      </w:tr>
      <w:tr w:rsidR="00D81D3D" w:rsidRPr="0014194B" w14:paraId="1CE9CD50" w14:textId="77777777" w:rsidTr="00BE12AD">
        <w:trPr>
          <w:trHeight w:val="20"/>
          <w:jc w:val="center"/>
        </w:trPr>
        <w:tc>
          <w:tcPr>
            <w:tcW w:w="5382" w:type="dxa"/>
          </w:tcPr>
          <w:p w14:paraId="26530DE7" w14:textId="77777777"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rPr>
              <w:t>Data</w:t>
            </w:r>
          </w:p>
        </w:tc>
        <w:tc>
          <w:tcPr>
            <w:tcW w:w="5168" w:type="dxa"/>
          </w:tcPr>
          <w:p w14:paraId="5B490FA3" w14:textId="77777777" w:rsidR="00D81D3D" w:rsidRPr="00295D4D" w:rsidRDefault="00D81D3D" w:rsidP="00D81D3D">
            <w:pPr>
              <w:tabs>
                <w:tab w:val="left" w:pos="817"/>
              </w:tabs>
              <w:spacing w:line="320" w:lineRule="exact"/>
              <w:rPr>
                <w:rFonts w:ascii="Verdana" w:hAnsi="Verdana" w:cs="Arial"/>
                <w:b/>
                <w:sz w:val="18"/>
                <w:szCs w:val="18"/>
                <w:lang w:val="en-US"/>
              </w:rPr>
            </w:pPr>
            <w:r w:rsidRPr="00295D4D">
              <w:rPr>
                <w:rFonts w:ascii="Verdana" w:hAnsi="Verdana" w:cs="Arial"/>
                <w:sz w:val="18"/>
                <w:szCs w:val="18"/>
                <w:lang w:val="en-US"/>
              </w:rPr>
              <w:t>Date</w:t>
            </w:r>
          </w:p>
        </w:tc>
      </w:tr>
      <w:tr w:rsidR="00D81D3D" w:rsidRPr="0014194B" w14:paraId="513F51FC" w14:textId="77777777" w:rsidTr="00BE12AD">
        <w:trPr>
          <w:trHeight w:val="20"/>
          <w:jc w:val="center"/>
        </w:trPr>
        <w:tc>
          <w:tcPr>
            <w:tcW w:w="5382" w:type="dxa"/>
          </w:tcPr>
          <w:sdt>
            <w:sdtPr>
              <w:rPr>
                <w:rFonts w:ascii="Verdana" w:hAnsi="Verdana" w:cs="Arial"/>
                <w:sz w:val="18"/>
                <w:szCs w:val="18"/>
                <w:highlight w:val="lightGray"/>
              </w:rPr>
              <w:id w:val="-335619910"/>
              <w:placeholder>
                <w:docPart w:val="DefaultPlaceholder_-1854013440"/>
              </w:placeholder>
            </w:sdtPr>
            <w:sdtContent>
              <w:p w14:paraId="50763B85" w14:textId="3222A423"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Pr>
          <w:sdt>
            <w:sdtPr>
              <w:rPr>
                <w:rFonts w:ascii="Verdana" w:hAnsi="Verdana" w:cs="Arial"/>
                <w:sz w:val="18"/>
                <w:szCs w:val="18"/>
                <w:highlight w:val="lightGray"/>
              </w:rPr>
              <w:id w:val="-1900824252"/>
              <w:placeholder>
                <w:docPart w:val="DefaultPlaceholder_-1854013440"/>
              </w:placeholder>
            </w:sdtPr>
            <w:sdtContent>
              <w:p w14:paraId="62D645C4" w14:textId="3B6C5DDE" w:rsidR="00D81D3D" w:rsidRPr="00295D4D" w:rsidRDefault="00D81D3D" w:rsidP="00D81D3D">
                <w:pPr>
                  <w:tabs>
                    <w:tab w:val="left" w:pos="817"/>
                  </w:tabs>
                  <w:spacing w:line="320" w:lineRule="exact"/>
                  <w:rPr>
                    <w:rFonts w:ascii="Verdana" w:hAnsi="Verdana" w:cs="Arial"/>
                    <w:b/>
                    <w:sz w:val="18"/>
                    <w:szCs w:val="18"/>
                    <w:lang w:val="en-US"/>
                  </w:rPr>
                </w:pPr>
                <w:r w:rsidRPr="00295D4D">
                  <w:rPr>
                    <w:rFonts w:ascii="Verdana" w:hAnsi="Verdana" w:cs="Arial"/>
                    <w:sz w:val="18"/>
                    <w:szCs w:val="18"/>
                    <w:highlight w:val="lightGray"/>
                  </w:rPr>
                  <w:t>[  ]</w:t>
                </w:r>
              </w:p>
            </w:sdtContent>
          </w:sdt>
        </w:tc>
      </w:tr>
      <w:tr w:rsidR="00D81D3D" w:rsidRPr="0014194B" w14:paraId="282B0904" w14:textId="77777777" w:rsidTr="00BE12AD">
        <w:trPr>
          <w:trHeight w:val="20"/>
          <w:jc w:val="center"/>
        </w:trPr>
        <w:tc>
          <w:tcPr>
            <w:tcW w:w="5382" w:type="dxa"/>
          </w:tcPr>
          <w:sdt>
            <w:sdtPr>
              <w:rPr>
                <w:rFonts w:ascii="Verdana" w:hAnsi="Verdana" w:cs="Arial"/>
                <w:b/>
                <w:sz w:val="18"/>
                <w:szCs w:val="18"/>
                <w:highlight w:val="lightGray"/>
              </w:rPr>
              <w:id w:val="-545372789"/>
              <w:placeholder>
                <w:docPart w:val="DefaultPlaceholder_-1854013440"/>
              </w:placeholder>
            </w:sdtPr>
            <w:sdtContent>
              <w:p w14:paraId="05390BF7" w14:textId="0F4546F3" w:rsidR="00D81D3D" w:rsidRPr="00295D4D" w:rsidRDefault="00D81D3D" w:rsidP="00D81D3D">
                <w:pPr>
                  <w:tabs>
                    <w:tab w:val="left" w:pos="817"/>
                  </w:tabs>
                  <w:spacing w:line="320" w:lineRule="exact"/>
                  <w:jc w:val="center"/>
                  <w:rPr>
                    <w:rFonts w:ascii="Verdana" w:hAnsi="Verdana" w:cs="Arial"/>
                    <w:b/>
                    <w:sz w:val="18"/>
                    <w:szCs w:val="18"/>
                    <w:highlight w:val="lightGray"/>
                  </w:rPr>
                </w:pPr>
                <w:r w:rsidRPr="00295D4D">
                  <w:rPr>
                    <w:rFonts w:ascii="Verdana" w:hAnsi="Verdana" w:cs="Arial"/>
                    <w:b/>
                    <w:sz w:val="18"/>
                    <w:szCs w:val="18"/>
                    <w:highlight w:val="lightGray"/>
                  </w:rPr>
                  <w:t>[______________________________________]</w:t>
                </w:r>
              </w:p>
            </w:sdtContent>
          </w:sdt>
          <w:sdt>
            <w:sdtPr>
              <w:rPr>
                <w:rFonts w:ascii="Verdana" w:hAnsi="Verdana" w:cs="Arial"/>
                <w:b/>
                <w:sz w:val="18"/>
                <w:szCs w:val="18"/>
                <w:highlight w:val="lightGray"/>
              </w:rPr>
              <w:id w:val="1739048846"/>
              <w:placeholder>
                <w:docPart w:val="DefaultPlaceholder_-1854013440"/>
              </w:placeholder>
            </w:sdtPr>
            <w:sdtContent>
              <w:p w14:paraId="788CA6EB" w14:textId="599E9556" w:rsidR="00D81D3D" w:rsidRPr="00295D4D" w:rsidRDefault="00D81D3D" w:rsidP="00D81D3D">
                <w:pPr>
                  <w:tabs>
                    <w:tab w:val="left" w:pos="817"/>
                  </w:tabs>
                  <w:spacing w:line="320" w:lineRule="exact"/>
                  <w:jc w:val="center"/>
                  <w:rPr>
                    <w:rFonts w:ascii="Verdana" w:hAnsi="Verdana" w:cs="Arial"/>
                    <w:sz w:val="18"/>
                    <w:szCs w:val="18"/>
                    <w:highlight w:val="lightGray"/>
                  </w:rPr>
                </w:pPr>
                <w:r w:rsidRPr="00295D4D">
                  <w:rPr>
                    <w:rFonts w:ascii="Verdana" w:hAnsi="Verdana" w:cs="Arial"/>
                    <w:b/>
                    <w:sz w:val="18"/>
                    <w:szCs w:val="18"/>
                    <w:highlight w:val="lightGray"/>
                  </w:rPr>
                  <w:t>SUBSCRITOR OU REPRESENTANTE LEGAL</w:t>
                </w:r>
              </w:p>
            </w:sdtContent>
          </w:sdt>
        </w:tc>
        <w:tc>
          <w:tcPr>
            <w:tcW w:w="5168" w:type="dxa"/>
          </w:tcPr>
          <w:sdt>
            <w:sdtPr>
              <w:rPr>
                <w:rFonts w:ascii="Verdana" w:hAnsi="Verdana" w:cs="Arial"/>
                <w:b/>
                <w:sz w:val="18"/>
                <w:szCs w:val="18"/>
                <w:highlight w:val="lightGray"/>
              </w:rPr>
              <w:id w:val="-1454551620"/>
              <w:placeholder>
                <w:docPart w:val="DefaultPlaceholder_-1854013440"/>
              </w:placeholder>
            </w:sdtPr>
            <w:sdtContent>
              <w:p w14:paraId="46EC7B4F" w14:textId="541F6D0A" w:rsidR="00D81D3D" w:rsidRPr="00295D4D" w:rsidRDefault="00D81D3D" w:rsidP="00D81D3D">
                <w:pPr>
                  <w:tabs>
                    <w:tab w:val="left" w:pos="817"/>
                  </w:tabs>
                  <w:spacing w:line="320" w:lineRule="exact"/>
                  <w:jc w:val="center"/>
                  <w:rPr>
                    <w:rFonts w:ascii="Verdana" w:hAnsi="Verdana" w:cs="Arial"/>
                    <w:b/>
                    <w:sz w:val="18"/>
                    <w:szCs w:val="18"/>
                    <w:highlight w:val="lightGray"/>
                  </w:rPr>
                </w:pPr>
                <w:r w:rsidRPr="00295D4D">
                  <w:rPr>
                    <w:rFonts w:ascii="Verdana" w:hAnsi="Verdana" w:cs="Arial"/>
                    <w:b/>
                    <w:sz w:val="18"/>
                    <w:szCs w:val="18"/>
                    <w:highlight w:val="lightGray"/>
                  </w:rPr>
                  <w:t>[_____________________________________]</w:t>
                </w:r>
              </w:p>
            </w:sdtContent>
          </w:sdt>
          <w:sdt>
            <w:sdtPr>
              <w:rPr>
                <w:rFonts w:ascii="Verdana" w:hAnsi="Verdana" w:cs="Arial"/>
                <w:b/>
                <w:sz w:val="18"/>
                <w:szCs w:val="18"/>
                <w:highlight w:val="lightGray"/>
                <w:lang w:val="en-US"/>
              </w:rPr>
              <w:id w:val="1060752521"/>
              <w:placeholder>
                <w:docPart w:val="DefaultPlaceholder_-1854013440"/>
              </w:placeholder>
            </w:sdtPr>
            <w:sdtContent>
              <w:p w14:paraId="79435BF0" w14:textId="15F62959" w:rsidR="00D81D3D" w:rsidRPr="00295D4D" w:rsidRDefault="00D81D3D" w:rsidP="00D81D3D">
                <w:pPr>
                  <w:tabs>
                    <w:tab w:val="left" w:pos="817"/>
                  </w:tabs>
                  <w:spacing w:line="320" w:lineRule="exact"/>
                  <w:jc w:val="center"/>
                  <w:rPr>
                    <w:rFonts w:ascii="Verdana" w:hAnsi="Verdana" w:cs="Arial"/>
                    <w:b/>
                    <w:sz w:val="18"/>
                    <w:szCs w:val="18"/>
                    <w:highlight w:val="lightGray"/>
                    <w:lang w:val="en-US"/>
                  </w:rPr>
                </w:pPr>
                <w:r w:rsidRPr="00295D4D">
                  <w:rPr>
                    <w:rFonts w:ascii="Verdana" w:hAnsi="Verdana" w:cs="Arial"/>
                    <w:b/>
                    <w:sz w:val="18"/>
                    <w:szCs w:val="18"/>
                    <w:highlight w:val="lightGray"/>
                    <w:lang w:val="en-US"/>
                  </w:rPr>
                  <w:t>SUBSCRIBER OR LEGAL REPRESENTATIVE</w:t>
                </w:r>
              </w:p>
            </w:sdtContent>
          </w:sdt>
        </w:tc>
      </w:tr>
      <w:tr w:rsidR="00D81D3D" w:rsidRPr="0014194B" w14:paraId="006A4670" w14:textId="77777777" w:rsidTr="00BE12AD">
        <w:trPr>
          <w:trHeight w:val="20"/>
          <w:jc w:val="center"/>
        </w:trPr>
        <w:tc>
          <w:tcPr>
            <w:tcW w:w="5382" w:type="dxa"/>
          </w:tcPr>
          <w:p w14:paraId="160597A0" w14:textId="77777777" w:rsidR="00D81D3D" w:rsidRPr="00295D4D" w:rsidRDefault="00D81D3D" w:rsidP="00D81D3D">
            <w:pPr>
              <w:tabs>
                <w:tab w:val="left" w:pos="817"/>
              </w:tabs>
              <w:spacing w:line="320" w:lineRule="exact"/>
              <w:rPr>
                <w:rFonts w:ascii="Verdana" w:hAnsi="Verdana" w:cs="Arial"/>
                <w:sz w:val="18"/>
                <w:szCs w:val="18"/>
              </w:rPr>
            </w:pPr>
          </w:p>
        </w:tc>
        <w:tc>
          <w:tcPr>
            <w:tcW w:w="5168" w:type="dxa"/>
          </w:tcPr>
          <w:p w14:paraId="6F969F4D" w14:textId="77777777" w:rsidR="00D81D3D" w:rsidRPr="00295D4D" w:rsidRDefault="00D81D3D" w:rsidP="00D81D3D">
            <w:pPr>
              <w:tabs>
                <w:tab w:val="left" w:pos="817"/>
              </w:tabs>
              <w:spacing w:line="320" w:lineRule="exact"/>
              <w:rPr>
                <w:rFonts w:ascii="Verdana" w:hAnsi="Verdana" w:cs="Arial"/>
                <w:b/>
                <w:sz w:val="18"/>
                <w:szCs w:val="18"/>
                <w:lang w:val="en-US"/>
              </w:rPr>
            </w:pPr>
          </w:p>
        </w:tc>
      </w:tr>
      <w:tr w:rsidR="00D81D3D" w:rsidRPr="0014194B" w14:paraId="6215289F" w14:textId="77777777" w:rsidTr="00BE12AD">
        <w:trPr>
          <w:trHeight w:val="20"/>
          <w:jc w:val="center"/>
        </w:trPr>
        <w:tc>
          <w:tcPr>
            <w:tcW w:w="5382" w:type="dxa"/>
            <w:tcBorders>
              <w:bottom w:val="single" w:sz="4" w:space="0" w:color="auto"/>
            </w:tcBorders>
          </w:tcPr>
          <w:p w14:paraId="081CD4BD" w14:textId="77777777" w:rsidR="00D81D3D" w:rsidRPr="00295D4D" w:rsidRDefault="00D81D3D" w:rsidP="00D81D3D">
            <w:pPr>
              <w:tabs>
                <w:tab w:val="left" w:pos="817"/>
              </w:tabs>
              <w:spacing w:line="320" w:lineRule="exact"/>
              <w:rPr>
                <w:rFonts w:ascii="Verdana" w:hAnsi="Verdana" w:cs="Arial"/>
                <w:sz w:val="18"/>
                <w:szCs w:val="18"/>
              </w:rPr>
            </w:pPr>
          </w:p>
        </w:tc>
        <w:tc>
          <w:tcPr>
            <w:tcW w:w="5168" w:type="dxa"/>
            <w:tcBorders>
              <w:bottom w:val="single" w:sz="4" w:space="0" w:color="auto"/>
            </w:tcBorders>
          </w:tcPr>
          <w:p w14:paraId="551A03EB" w14:textId="77777777" w:rsidR="00D81D3D" w:rsidRPr="00295D4D" w:rsidRDefault="00D81D3D" w:rsidP="00D81D3D">
            <w:pPr>
              <w:tabs>
                <w:tab w:val="left" w:pos="817"/>
              </w:tabs>
              <w:spacing w:line="320" w:lineRule="exact"/>
              <w:rPr>
                <w:rFonts w:ascii="Verdana" w:hAnsi="Verdana" w:cs="Arial"/>
                <w:b/>
                <w:sz w:val="18"/>
                <w:szCs w:val="18"/>
                <w:lang w:val="en-US"/>
              </w:rPr>
            </w:pPr>
          </w:p>
        </w:tc>
      </w:tr>
      <w:tr w:rsidR="00D81D3D" w:rsidRPr="00016DC5" w14:paraId="4EA2A56A" w14:textId="77777777" w:rsidTr="00BE12AD">
        <w:trPr>
          <w:trHeight w:val="20"/>
          <w:jc w:val="center"/>
        </w:trPr>
        <w:tc>
          <w:tcPr>
            <w:tcW w:w="5382" w:type="dxa"/>
            <w:tcBorders>
              <w:top w:val="single" w:sz="4" w:space="0" w:color="auto"/>
              <w:bottom w:val="nil"/>
            </w:tcBorders>
          </w:tcPr>
          <w:p w14:paraId="60C4409D" w14:textId="1ED1C739" w:rsidR="00D81D3D" w:rsidRPr="00295D4D" w:rsidRDefault="00D81D3D" w:rsidP="00D81D3D">
            <w:pPr>
              <w:tabs>
                <w:tab w:val="left" w:pos="817"/>
              </w:tabs>
              <w:spacing w:line="320" w:lineRule="exact"/>
              <w:rPr>
                <w:rFonts w:ascii="Verdana" w:hAnsi="Verdana" w:cs="Arial"/>
                <w:sz w:val="18"/>
                <w:szCs w:val="18"/>
              </w:rPr>
            </w:pPr>
            <w:r w:rsidRPr="00295D4D">
              <w:rPr>
                <w:rFonts w:ascii="Verdana" w:hAnsi="Verdana" w:cs="Arial"/>
                <w:sz w:val="18"/>
                <w:szCs w:val="18"/>
              </w:rPr>
              <w:t>Carimbo e assinatura do AGENTE DE CUSTÓDIA.</w:t>
            </w:r>
          </w:p>
        </w:tc>
        <w:tc>
          <w:tcPr>
            <w:tcW w:w="5168" w:type="dxa"/>
            <w:tcBorders>
              <w:top w:val="single" w:sz="4" w:space="0" w:color="auto"/>
              <w:bottom w:val="nil"/>
            </w:tcBorders>
          </w:tcPr>
          <w:p w14:paraId="63EFB39B" w14:textId="271DC50A"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Stamp and signature of the CUSTODY AGENT.</w:t>
            </w:r>
          </w:p>
          <w:p w14:paraId="7DCA22B6" w14:textId="77777777" w:rsidR="00D81D3D" w:rsidRPr="00295D4D" w:rsidRDefault="00D81D3D" w:rsidP="00D81D3D">
            <w:pPr>
              <w:tabs>
                <w:tab w:val="left" w:pos="817"/>
              </w:tabs>
              <w:spacing w:line="320" w:lineRule="exact"/>
              <w:rPr>
                <w:rFonts w:ascii="Verdana" w:hAnsi="Verdana" w:cs="Arial"/>
                <w:b/>
                <w:sz w:val="18"/>
                <w:szCs w:val="18"/>
                <w:lang w:val="en-US"/>
              </w:rPr>
            </w:pPr>
          </w:p>
        </w:tc>
      </w:tr>
      <w:tr w:rsidR="00D81D3D" w:rsidRPr="00016DC5" w14:paraId="36BC24E2" w14:textId="77777777" w:rsidTr="00BE12AD">
        <w:trPr>
          <w:trHeight w:val="20"/>
          <w:jc w:val="center"/>
        </w:trPr>
        <w:tc>
          <w:tcPr>
            <w:tcW w:w="5382" w:type="dxa"/>
            <w:tcBorders>
              <w:top w:val="nil"/>
            </w:tcBorders>
          </w:tcPr>
          <w:p w14:paraId="50B0B2BE" w14:textId="77777777" w:rsidR="00D81D3D" w:rsidRPr="00295D4D" w:rsidRDefault="00D81D3D" w:rsidP="00D81D3D">
            <w:pPr>
              <w:tabs>
                <w:tab w:val="left" w:pos="817"/>
              </w:tabs>
              <w:spacing w:line="320" w:lineRule="exact"/>
              <w:rPr>
                <w:rFonts w:ascii="Verdana" w:hAnsi="Verdana" w:cs="Arial"/>
                <w:sz w:val="18"/>
                <w:szCs w:val="18"/>
                <w:lang w:val="en-US"/>
              </w:rPr>
            </w:pPr>
          </w:p>
        </w:tc>
        <w:tc>
          <w:tcPr>
            <w:tcW w:w="5168" w:type="dxa"/>
            <w:tcBorders>
              <w:top w:val="nil"/>
            </w:tcBorders>
          </w:tcPr>
          <w:p w14:paraId="25C5F7B2" w14:textId="77777777" w:rsidR="00D81D3D" w:rsidRPr="00295D4D" w:rsidRDefault="00D81D3D" w:rsidP="00D81D3D">
            <w:pPr>
              <w:tabs>
                <w:tab w:val="left" w:pos="817"/>
              </w:tabs>
              <w:spacing w:line="320" w:lineRule="exact"/>
              <w:rPr>
                <w:rFonts w:ascii="Verdana" w:hAnsi="Verdana" w:cs="Arial"/>
                <w:b/>
                <w:sz w:val="18"/>
                <w:szCs w:val="18"/>
                <w:lang w:val="en-US"/>
              </w:rPr>
            </w:pPr>
          </w:p>
        </w:tc>
      </w:tr>
      <w:tr w:rsidR="00D81D3D" w:rsidRPr="0014194B" w14:paraId="187A9DBE" w14:textId="77777777" w:rsidTr="00BE12AD">
        <w:trPr>
          <w:trHeight w:val="20"/>
          <w:jc w:val="center"/>
        </w:trPr>
        <w:tc>
          <w:tcPr>
            <w:tcW w:w="5382" w:type="dxa"/>
          </w:tcPr>
          <w:p w14:paraId="6ADFB4EF" w14:textId="7D78DA80" w:rsidR="00D81D3D" w:rsidRPr="00295D4D" w:rsidRDefault="00D81D3D" w:rsidP="00D81D3D">
            <w:pPr>
              <w:pStyle w:val="Corpodetexto3"/>
              <w:tabs>
                <w:tab w:val="left" w:pos="817"/>
                <w:tab w:val="left" w:pos="2653"/>
              </w:tabs>
              <w:spacing w:after="0" w:line="320" w:lineRule="exact"/>
              <w:rPr>
                <w:rFonts w:ascii="Verdana" w:hAnsi="Verdana" w:cs="Arial"/>
                <w:sz w:val="18"/>
                <w:szCs w:val="18"/>
              </w:rPr>
            </w:pPr>
            <w:r w:rsidRPr="00295D4D">
              <w:rPr>
                <w:rFonts w:ascii="Verdana" w:hAnsi="Verdana" w:cs="Arial"/>
                <w:sz w:val="18"/>
                <w:szCs w:val="18"/>
              </w:rPr>
              <w:t xml:space="preserve">Local </w:t>
            </w:r>
          </w:p>
        </w:tc>
        <w:tc>
          <w:tcPr>
            <w:tcW w:w="5168" w:type="dxa"/>
          </w:tcPr>
          <w:p w14:paraId="232D35EE" w14:textId="77777777" w:rsidR="00D81D3D" w:rsidRPr="00295D4D" w:rsidRDefault="00D81D3D" w:rsidP="00D81D3D">
            <w:pPr>
              <w:tabs>
                <w:tab w:val="left" w:pos="817"/>
              </w:tabs>
              <w:spacing w:line="320" w:lineRule="exact"/>
              <w:rPr>
                <w:rFonts w:ascii="Verdana" w:hAnsi="Verdana" w:cs="Arial"/>
                <w:b/>
                <w:sz w:val="18"/>
                <w:szCs w:val="18"/>
                <w:lang w:val="en-US"/>
              </w:rPr>
            </w:pPr>
            <w:r w:rsidRPr="00295D4D">
              <w:rPr>
                <w:rFonts w:ascii="Verdana" w:hAnsi="Verdana" w:cs="Arial"/>
                <w:sz w:val="18"/>
                <w:szCs w:val="18"/>
                <w:lang w:val="en-US"/>
              </w:rPr>
              <w:t>Location</w:t>
            </w:r>
          </w:p>
        </w:tc>
      </w:tr>
      <w:tr w:rsidR="00D81D3D" w:rsidRPr="0014194B" w14:paraId="27C8D30C" w14:textId="77777777" w:rsidTr="00BE12AD">
        <w:trPr>
          <w:trHeight w:val="20"/>
          <w:jc w:val="center"/>
        </w:trPr>
        <w:tc>
          <w:tcPr>
            <w:tcW w:w="5382" w:type="dxa"/>
          </w:tcPr>
          <w:sdt>
            <w:sdtPr>
              <w:rPr>
                <w:rFonts w:ascii="Verdana" w:hAnsi="Verdana" w:cs="Arial"/>
                <w:sz w:val="18"/>
                <w:szCs w:val="18"/>
                <w:highlight w:val="lightGray"/>
              </w:rPr>
              <w:id w:val="-1789658170"/>
              <w:placeholder>
                <w:docPart w:val="DefaultPlaceholder_-1854013440"/>
              </w:placeholder>
            </w:sdtPr>
            <w:sdtContent>
              <w:p w14:paraId="330230EE" w14:textId="73D4ED8D" w:rsidR="00D81D3D" w:rsidRPr="00295D4D" w:rsidRDefault="00D81D3D" w:rsidP="00D81D3D">
                <w:pPr>
                  <w:pStyle w:val="Corpodetexto3"/>
                  <w:tabs>
                    <w:tab w:val="left" w:pos="817"/>
                    <w:tab w:val="left" w:pos="2653"/>
                  </w:tabs>
                  <w:spacing w:after="0"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Pr>
          <w:sdt>
            <w:sdtPr>
              <w:rPr>
                <w:rFonts w:ascii="Verdana" w:hAnsi="Verdana" w:cs="Arial"/>
                <w:sz w:val="18"/>
                <w:szCs w:val="18"/>
                <w:highlight w:val="lightGray"/>
              </w:rPr>
              <w:id w:val="-758907632"/>
              <w:placeholder>
                <w:docPart w:val="DefaultPlaceholder_-1854013440"/>
              </w:placeholder>
            </w:sdtPr>
            <w:sdtContent>
              <w:p w14:paraId="761BE90F" w14:textId="68499191" w:rsidR="00D81D3D" w:rsidRPr="00295D4D" w:rsidRDefault="00D81D3D" w:rsidP="00D81D3D">
                <w:pPr>
                  <w:tabs>
                    <w:tab w:val="left" w:pos="817"/>
                  </w:tabs>
                  <w:spacing w:line="320" w:lineRule="exact"/>
                  <w:rPr>
                    <w:rFonts w:ascii="Verdana" w:hAnsi="Verdana" w:cs="Arial"/>
                    <w:b/>
                    <w:sz w:val="18"/>
                    <w:szCs w:val="18"/>
                    <w:lang w:val="en-US"/>
                  </w:rPr>
                </w:pPr>
                <w:r w:rsidRPr="00295D4D">
                  <w:rPr>
                    <w:rFonts w:ascii="Verdana" w:hAnsi="Verdana" w:cs="Arial"/>
                    <w:sz w:val="18"/>
                    <w:szCs w:val="18"/>
                    <w:highlight w:val="lightGray"/>
                  </w:rPr>
                  <w:t>[  ]</w:t>
                </w:r>
              </w:p>
            </w:sdtContent>
          </w:sdt>
        </w:tc>
      </w:tr>
      <w:tr w:rsidR="00D81D3D" w:rsidRPr="0014194B" w14:paraId="6A107852" w14:textId="77777777" w:rsidTr="00BE12AD">
        <w:trPr>
          <w:trHeight w:val="20"/>
          <w:jc w:val="center"/>
        </w:trPr>
        <w:tc>
          <w:tcPr>
            <w:tcW w:w="5382" w:type="dxa"/>
          </w:tcPr>
          <w:p w14:paraId="5E552ABB" w14:textId="77777777" w:rsidR="00D81D3D" w:rsidRPr="00295D4D" w:rsidRDefault="00D81D3D" w:rsidP="00D81D3D">
            <w:pPr>
              <w:pStyle w:val="Corpodetexto3"/>
              <w:tabs>
                <w:tab w:val="left" w:pos="817"/>
                <w:tab w:val="left" w:pos="2653"/>
              </w:tabs>
              <w:spacing w:after="0" w:line="320" w:lineRule="exact"/>
              <w:rPr>
                <w:rFonts w:ascii="Verdana" w:hAnsi="Verdana" w:cs="Arial"/>
                <w:sz w:val="18"/>
                <w:szCs w:val="18"/>
              </w:rPr>
            </w:pPr>
            <w:r w:rsidRPr="00295D4D">
              <w:rPr>
                <w:rFonts w:ascii="Verdana" w:hAnsi="Verdana" w:cs="Arial"/>
                <w:sz w:val="18"/>
                <w:szCs w:val="18"/>
              </w:rPr>
              <w:t>Data</w:t>
            </w:r>
          </w:p>
          <w:sdt>
            <w:sdtPr>
              <w:rPr>
                <w:rFonts w:ascii="Verdana" w:hAnsi="Verdana" w:cs="Arial"/>
                <w:sz w:val="18"/>
                <w:szCs w:val="18"/>
                <w:highlight w:val="lightGray"/>
              </w:rPr>
              <w:id w:val="-203402633"/>
              <w:placeholder>
                <w:docPart w:val="DefaultPlaceholder_-1854013440"/>
              </w:placeholder>
            </w:sdtPr>
            <w:sdtContent>
              <w:p w14:paraId="04552AB1" w14:textId="7E1EAD72" w:rsidR="00D81D3D" w:rsidRPr="00295D4D" w:rsidRDefault="00D81D3D" w:rsidP="00D81D3D">
                <w:pPr>
                  <w:pStyle w:val="Corpodetexto3"/>
                  <w:tabs>
                    <w:tab w:val="left" w:pos="817"/>
                    <w:tab w:val="left" w:pos="2653"/>
                  </w:tabs>
                  <w:spacing w:after="0"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168" w:type="dxa"/>
          </w:tcPr>
          <w:p w14:paraId="04341C3A" w14:textId="77777777" w:rsidR="00D81D3D" w:rsidRPr="00295D4D" w:rsidRDefault="00D81D3D" w:rsidP="00D81D3D">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Date</w:t>
            </w:r>
          </w:p>
          <w:sdt>
            <w:sdtPr>
              <w:rPr>
                <w:rFonts w:ascii="Verdana" w:hAnsi="Verdana" w:cs="Arial"/>
                <w:sz w:val="18"/>
                <w:szCs w:val="18"/>
                <w:highlight w:val="lightGray"/>
              </w:rPr>
              <w:id w:val="1669749406"/>
              <w:placeholder>
                <w:docPart w:val="DefaultPlaceholder_-1854013440"/>
              </w:placeholder>
            </w:sdtPr>
            <w:sdtContent>
              <w:p w14:paraId="52538B36" w14:textId="2784EEA1" w:rsidR="00D81D3D" w:rsidRPr="00295D4D" w:rsidRDefault="00D81D3D" w:rsidP="00D81D3D">
                <w:pPr>
                  <w:tabs>
                    <w:tab w:val="left" w:pos="817"/>
                  </w:tabs>
                  <w:spacing w:line="320" w:lineRule="exact"/>
                  <w:rPr>
                    <w:rFonts w:ascii="Verdana" w:hAnsi="Verdana" w:cs="Arial"/>
                    <w:b/>
                    <w:sz w:val="18"/>
                    <w:szCs w:val="18"/>
                    <w:lang w:val="en-US"/>
                  </w:rPr>
                </w:pPr>
                <w:r w:rsidRPr="00295D4D">
                  <w:rPr>
                    <w:rFonts w:ascii="Verdana" w:hAnsi="Verdana" w:cs="Arial"/>
                    <w:sz w:val="18"/>
                    <w:szCs w:val="18"/>
                    <w:highlight w:val="lightGray"/>
                  </w:rPr>
                  <w:t>[  ]</w:t>
                </w:r>
              </w:p>
            </w:sdtContent>
          </w:sdt>
        </w:tc>
      </w:tr>
    </w:tbl>
    <w:p w14:paraId="14E4DC99" w14:textId="77777777" w:rsidR="007E5AD8" w:rsidRPr="001000D7" w:rsidRDefault="007E5AD8" w:rsidP="00750320">
      <w:pPr>
        <w:spacing w:line="320" w:lineRule="exact"/>
        <w:rPr>
          <w:rStyle w:val="Nmerodepgina"/>
          <w:rFonts w:ascii="Arial" w:hAnsi="Arial" w:cs="Arial"/>
          <w:sz w:val="20"/>
        </w:rPr>
      </w:pPr>
    </w:p>
    <w:sectPr w:rsidR="007E5AD8" w:rsidRPr="001000D7" w:rsidSect="00E63694">
      <w:footerReference w:type="even" r:id="rId21"/>
      <w:footerReference w:type="default" r:id="rId22"/>
      <w:headerReference w:type="first" r:id="rId23"/>
      <w:footerReference w:type="first" r:id="rId24"/>
      <w:pgSz w:w="11907" w:h="16840" w:code="9"/>
      <w:pgMar w:top="1440" w:right="1440" w:bottom="1440" w:left="1440"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95D4C" w14:textId="77777777" w:rsidR="002A6FA5" w:rsidRDefault="002A6FA5">
      <w:r>
        <w:separator/>
      </w:r>
    </w:p>
  </w:endnote>
  <w:endnote w:type="continuationSeparator" w:id="0">
    <w:p w14:paraId="39877FF6" w14:textId="77777777" w:rsidR="002A6FA5" w:rsidRDefault="002A6FA5">
      <w:r>
        <w:continuationSeparator/>
      </w:r>
    </w:p>
  </w:endnote>
  <w:endnote w:type="continuationNotice" w:id="1">
    <w:p w14:paraId="5001511E" w14:textId="77777777" w:rsidR="002A6FA5" w:rsidRDefault="002A6F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5A6D" w14:textId="02E5034B" w:rsidR="00707748" w:rsidRDefault="008A1F8B">
    <w:pPr>
      <w:pStyle w:val="Rodap"/>
    </w:pPr>
    <w:r>
      <w:rPr>
        <w:noProof/>
      </w:rPr>
      <mc:AlternateContent>
        <mc:Choice Requires="wps">
          <w:drawing>
            <wp:anchor distT="0" distB="0" distL="0" distR="0" simplePos="0" relativeHeight="251659264" behindDoc="0" locked="0" layoutInCell="1" allowOverlap="1" wp14:anchorId="26BBF4D7" wp14:editId="1F1450DD">
              <wp:simplePos x="635" y="635"/>
              <wp:positionH relativeFrom="page">
                <wp:align>center</wp:align>
              </wp:positionH>
              <wp:positionV relativeFrom="page">
                <wp:align>bottom</wp:align>
              </wp:positionV>
              <wp:extent cx="2818130" cy="345440"/>
              <wp:effectExtent l="0" t="0" r="1270" b="0"/>
              <wp:wrapNone/>
              <wp:docPr id="2145814607" name="Caixa de Texto 2" descr="INFORMAÇÃO INTERNA –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18130" cy="345440"/>
                      </a:xfrm>
                      <a:prstGeom prst="rect">
                        <a:avLst/>
                      </a:prstGeom>
                      <a:noFill/>
                      <a:ln>
                        <a:noFill/>
                      </a:ln>
                    </wps:spPr>
                    <wps:txbx>
                      <w:txbxContent>
                        <w:p w14:paraId="4BB06F6A" w14:textId="4AAF072E" w:rsidR="008A1F8B" w:rsidRPr="008A1F8B" w:rsidRDefault="008A1F8B" w:rsidP="008A1F8B">
                          <w:pPr>
                            <w:rPr>
                              <w:rFonts w:ascii="Aptos" w:eastAsia="Aptos" w:hAnsi="Aptos" w:cs="Aptos"/>
                              <w:noProof/>
                              <w:color w:val="000000"/>
                              <w:sz w:val="20"/>
                              <w:szCs w:val="20"/>
                            </w:rPr>
                          </w:pPr>
                          <w:r w:rsidRPr="008A1F8B">
                            <w:rPr>
                              <w:rFonts w:ascii="Aptos" w:eastAsia="Aptos" w:hAnsi="Aptos" w:cs="Aptos"/>
                              <w:noProof/>
                              <w:color w:val="000000"/>
                              <w:sz w:val="20"/>
                              <w:szCs w:val="20"/>
                            </w:rPr>
                            <w:t>INFORMAÇÃO INTERNA –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BBF4D7" id="_x0000_t202" coordsize="21600,21600" o:spt="202" path="m,l,21600r21600,l21600,xe">
              <v:stroke joinstyle="miter"/>
              <v:path gradientshapeok="t" o:connecttype="rect"/>
            </v:shapetype>
            <v:shape id="Caixa de Texto 2" o:spid="_x0000_s1026" type="#_x0000_t202" alt="INFORMAÇÃO INTERNA – INTERNAL INFORMATION" style="position:absolute;margin-left:0;margin-top:0;width:221.9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" filled="f" stroked="f">
              <v:textbox style="mso-fit-shape-to-text:t" inset="0,0,0,15pt">
                <w:txbxContent>
                  <w:p w14:paraId="4BB06F6A" w14:textId="4AAF072E" w:rsidR="008A1F8B" w:rsidRPr="008A1F8B" w:rsidRDefault="008A1F8B" w:rsidP="008A1F8B">
                    <w:pPr>
                      <w:rPr>
                        <w:rFonts w:ascii="Aptos" w:eastAsia="Aptos" w:hAnsi="Aptos" w:cs="Aptos"/>
                        <w:noProof/>
                        <w:color w:val="000000"/>
                        <w:sz w:val="20"/>
                        <w:szCs w:val="20"/>
                      </w:rPr>
                    </w:pPr>
                    <w:r w:rsidRPr="008A1F8B">
                      <w:rPr>
                        <w:rFonts w:ascii="Aptos" w:eastAsia="Aptos" w:hAnsi="Aptos" w:cs="Aptos"/>
                        <w:noProof/>
                        <w:color w:val="000000"/>
                        <w:sz w:val="20"/>
                        <w:szCs w:val="20"/>
                      </w:rPr>
                      <w:t>INFORMAÇÃO INTERNA –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FBC4" w14:textId="12E7546E" w:rsidR="007E5AD8" w:rsidRPr="00750320" w:rsidRDefault="001B305F">
    <w:pPr>
      <w:pStyle w:val="Rodap"/>
      <w:spacing w:line="240" w:lineRule="auto"/>
      <w:jc w:val="center"/>
      <w:rPr>
        <w:rFonts w:asciiTheme="minorHAnsi" w:hAnsiTheme="minorHAnsi" w:cstheme="minorHAnsi"/>
        <w:sz w:val="22"/>
        <w:szCs w:val="22"/>
      </w:rPr>
    </w:pPr>
    <w:r w:rsidRPr="00750320">
      <w:rPr>
        <w:rFonts w:asciiTheme="minorHAnsi" w:hAnsiTheme="minorHAnsi" w:cstheme="minorHAnsi"/>
        <w:sz w:val="22"/>
        <w:szCs w:val="22"/>
      </w:rPr>
      <w:t xml:space="preserve">- </w:t>
    </w:r>
    <w:r w:rsidRPr="00750320">
      <w:rPr>
        <w:rFonts w:asciiTheme="minorHAnsi" w:hAnsiTheme="minorHAnsi" w:cstheme="minorHAnsi"/>
        <w:sz w:val="22"/>
        <w:szCs w:val="22"/>
      </w:rPr>
      <w:fldChar w:fldCharType="begin"/>
    </w:r>
    <w:r w:rsidRPr="00750320">
      <w:rPr>
        <w:rFonts w:asciiTheme="minorHAnsi" w:hAnsiTheme="minorHAnsi" w:cstheme="minorHAnsi"/>
        <w:sz w:val="22"/>
        <w:szCs w:val="22"/>
      </w:rPr>
      <w:instrText xml:space="preserve"> PAGE  \* MERGEFORMAT </w:instrText>
    </w:r>
    <w:r w:rsidRPr="00750320">
      <w:rPr>
        <w:rFonts w:asciiTheme="minorHAnsi" w:hAnsiTheme="minorHAnsi" w:cstheme="minorHAnsi"/>
        <w:sz w:val="22"/>
        <w:szCs w:val="22"/>
      </w:rPr>
      <w:fldChar w:fldCharType="separate"/>
    </w:r>
    <w:r w:rsidRPr="00750320">
      <w:rPr>
        <w:rFonts w:asciiTheme="minorHAnsi" w:hAnsiTheme="minorHAnsi" w:cstheme="minorHAnsi"/>
        <w:noProof/>
        <w:sz w:val="22"/>
        <w:szCs w:val="22"/>
      </w:rPr>
      <w:t>13</w:t>
    </w:r>
    <w:r w:rsidRPr="00750320">
      <w:rPr>
        <w:rFonts w:asciiTheme="minorHAnsi" w:hAnsiTheme="minorHAnsi" w:cstheme="minorHAnsi"/>
        <w:sz w:val="22"/>
        <w:szCs w:val="22"/>
      </w:rPr>
      <w:fldChar w:fldCharType="end"/>
    </w:r>
    <w:r w:rsidRPr="00750320">
      <w:rPr>
        <w:rFonts w:asciiTheme="minorHAnsi" w:hAnsiTheme="minorHAnsi" w:cstheme="minorHAnsi"/>
        <w:sz w:val="22"/>
        <w:szCs w:val="22"/>
      </w:rPr>
      <w:t xml:space="preserve"> -</w:t>
    </w:r>
  </w:p>
  <w:p w14:paraId="59F25276" w14:textId="77777777" w:rsidR="007E5AD8" w:rsidRDefault="007E5AD8">
    <w:pPr>
      <w:pStyle w:val="Rodap"/>
      <w:spacing w:line="240" w:lineRule="auto"/>
      <w:jc w:val="center"/>
      <w:rPr>
        <w:sz w:val="18"/>
      </w:rPr>
    </w:pPr>
  </w:p>
  <w:p w14:paraId="30B62729" w14:textId="7F4BA653" w:rsidR="00B8088E" w:rsidRDefault="00B8088E" w:rsidP="00B8088E">
    <w:pPr>
      <w:pStyle w:val="Rodap"/>
      <w:spacing w:line="240" w:lineRule="auto"/>
      <w:jc w:val="cen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6269" w14:textId="6D292379" w:rsidR="007E5AD8" w:rsidRPr="00700E1A" w:rsidRDefault="008A1F8B">
    <w:pPr>
      <w:pStyle w:val="Rodap"/>
      <w:spacing w:line="240" w:lineRule="auto"/>
      <w:rPr>
        <w:rFonts w:ascii="Verdana" w:hAnsi="Verdana"/>
        <w:color w:val="FFFFFF" w:themeColor="background1"/>
        <w:lang w:val="pt-BR"/>
      </w:rPr>
    </w:pPr>
    <w:r>
      <w:rPr>
        <w:rFonts w:ascii="Verdana" w:hAnsi="Verdana"/>
        <w:noProof/>
        <w:color w:val="FFFFFF" w:themeColor="background1"/>
      </w:rPr>
      <mc:AlternateContent>
        <mc:Choice Requires="wps">
          <w:drawing>
            <wp:anchor distT="0" distB="0" distL="0" distR="0" simplePos="0" relativeHeight="251658240" behindDoc="0" locked="0" layoutInCell="1" allowOverlap="1" wp14:anchorId="5E42D7E2" wp14:editId="6D6F97E7">
              <wp:simplePos x="635" y="635"/>
              <wp:positionH relativeFrom="page">
                <wp:align>center</wp:align>
              </wp:positionH>
              <wp:positionV relativeFrom="page">
                <wp:align>bottom</wp:align>
              </wp:positionV>
              <wp:extent cx="2818130" cy="345440"/>
              <wp:effectExtent l="0" t="0" r="1270" b="0"/>
              <wp:wrapNone/>
              <wp:docPr id="1458364654" name="Caixa de Texto 1" descr="INFORMAÇÃO INTERNA –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18130" cy="345440"/>
                      </a:xfrm>
                      <a:prstGeom prst="rect">
                        <a:avLst/>
                      </a:prstGeom>
                      <a:noFill/>
                      <a:ln>
                        <a:noFill/>
                      </a:ln>
                    </wps:spPr>
                    <wps:txbx>
                      <w:txbxContent>
                        <w:p w14:paraId="746A01BB" w14:textId="21D16B4E" w:rsidR="008A1F8B" w:rsidRPr="008A1F8B" w:rsidRDefault="008A1F8B" w:rsidP="008A1F8B">
                          <w:pPr>
                            <w:rPr>
                              <w:rFonts w:ascii="Aptos" w:eastAsia="Aptos" w:hAnsi="Aptos" w:cs="Aptos"/>
                              <w:noProof/>
                              <w:color w:val="000000"/>
                              <w:sz w:val="20"/>
                              <w:szCs w:val="20"/>
                            </w:rPr>
                          </w:pPr>
                          <w:r w:rsidRPr="008A1F8B">
                            <w:rPr>
                              <w:rFonts w:ascii="Aptos" w:eastAsia="Aptos" w:hAnsi="Aptos" w:cs="Aptos"/>
                              <w:noProof/>
                              <w:color w:val="000000"/>
                              <w:sz w:val="20"/>
                              <w:szCs w:val="20"/>
                            </w:rPr>
                            <w:t>INFORMAÇÃO INTERNA –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42D7E2" id="_x0000_t202" coordsize="21600,21600" o:spt="202" path="m,l,21600r21600,l21600,xe">
              <v:stroke joinstyle="miter"/>
              <v:path gradientshapeok="t" o:connecttype="rect"/>
            </v:shapetype>
            <v:shape id="Caixa de Texto 1" o:spid="_x0000_s1028" type="#_x0000_t202" alt="INFORMAÇÃO INTERNA – INTERNAL INFORMATION" style="position:absolute;margin-left:0;margin-top:0;width:221.9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" filled="f" stroked="f">
              <v:textbox style="mso-fit-shape-to-text:t" inset="0,0,0,15pt">
                <w:txbxContent>
                  <w:p w14:paraId="746A01BB" w14:textId="21D16B4E" w:rsidR="008A1F8B" w:rsidRPr="008A1F8B" w:rsidRDefault="008A1F8B" w:rsidP="008A1F8B">
                    <w:pPr>
                      <w:rPr>
                        <w:rFonts w:ascii="Aptos" w:eastAsia="Aptos" w:hAnsi="Aptos" w:cs="Aptos"/>
                        <w:noProof/>
                        <w:color w:val="000000"/>
                        <w:sz w:val="20"/>
                        <w:szCs w:val="20"/>
                      </w:rPr>
                    </w:pPr>
                    <w:r w:rsidRPr="008A1F8B">
                      <w:rPr>
                        <w:rFonts w:ascii="Aptos" w:eastAsia="Aptos" w:hAnsi="Aptos" w:cs="Aptos"/>
                        <w:noProof/>
                        <w:color w:val="000000"/>
                        <w:sz w:val="20"/>
                        <w:szCs w:val="20"/>
                      </w:rPr>
                      <w:t>INFORMAÇÃO INTERNA – INTERNAL INFORMATION</w:t>
                    </w:r>
                  </w:p>
                </w:txbxContent>
              </v:textbox>
              <w10:wrap anchorx="page" anchory="page"/>
            </v:shape>
          </w:pict>
        </mc:Fallback>
      </mc:AlternateContent>
    </w:r>
    <w:r w:rsidR="001B305F">
      <w:rPr>
        <w:rFonts w:ascii="Verdana" w:hAnsi="Verdana"/>
        <w:color w:val="FFFFFF" w:themeColor="background1"/>
      </w:rPr>
      <w:fldChar w:fldCharType="begin"/>
    </w:r>
    <w:r w:rsidR="001B305F" w:rsidRPr="00700E1A">
      <w:rPr>
        <w:rFonts w:ascii="Verdana" w:hAnsi="Verdana"/>
        <w:color w:val="FFFFFF" w:themeColor="background1"/>
        <w:lang w:val="pt-BR"/>
      </w:rPr>
      <w:instrText xml:space="preserve"> DOCPROPERTY "iManageFooter"  \* MERGEFORMAT </w:instrText>
    </w:r>
    <w:r w:rsidR="001B305F">
      <w:rPr>
        <w:rFonts w:ascii="Verdana" w:hAnsi="Verdana"/>
        <w:color w:val="FFFFFF" w:themeColor="background1"/>
      </w:rPr>
      <w:fldChar w:fldCharType="separate"/>
    </w:r>
    <w:r w:rsidR="00E63694">
      <w:rPr>
        <w:rFonts w:ascii="Verdana" w:hAnsi="Verdana"/>
        <w:color w:val="FFFFFF" w:themeColor="background1"/>
        <w:lang w:val="pt-BR"/>
      </w:rPr>
      <w:t>SFPFC #5024378v14</w:t>
    </w:r>
    <w:r w:rsidR="001B305F">
      <w:rPr>
        <w:rFonts w:ascii="Verdana" w:hAnsi="Verdana"/>
        <w:color w:val="FFFFFF" w:themeColor="background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26784" w14:textId="77777777" w:rsidR="002A6FA5" w:rsidRDefault="002A6FA5">
      <w:r>
        <w:separator/>
      </w:r>
    </w:p>
  </w:footnote>
  <w:footnote w:type="continuationSeparator" w:id="0">
    <w:p w14:paraId="4337E211" w14:textId="77777777" w:rsidR="002A6FA5" w:rsidRDefault="002A6FA5">
      <w:r>
        <w:continuationSeparator/>
      </w:r>
    </w:p>
  </w:footnote>
  <w:footnote w:type="continuationNotice" w:id="1">
    <w:p w14:paraId="5F9AEA17" w14:textId="77777777" w:rsidR="002A6FA5" w:rsidRDefault="002A6F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EC97" w14:textId="0007FF5F" w:rsidR="00D8387E" w:rsidRPr="003F7A3D" w:rsidRDefault="00750320">
    <w:pPr>
      <w:pStyle w:val="Cabealho"/>
      <w:rPr>
        <w:rFonts w:asciiTheme="minorHAnsi" w:hAnsiTheme="minorHAnsi" w:cstheme="minorHAnsi"/>
        <w:i/>
        <w:iCs/>
        <w:sz w:val="22"/>
        <w:szCs w:val="22"/>
      </w:rPr>
    </w:pPr>
    <w:r w:rsidRPr="003F7A3D">
      <w:rPr>
        <w:rFonts w:asciiTheme="minorHAnsi" w:hAnsiTheme="minorHAnsi" w:cstheme="minorHAnsi"/>
        <w:i/>
        <w:iCs/>
        <w:sz w:val="22"/>
        <w:szCs w:val="22"/>
      </w:rPr>
      <w:t>Minuta Stocche Forbes</w:t>
    </w:r>
  </w:p>
  <w:p w14:paraId="3775FBA7" w14:textId="4443F549" w:rsidR="003F7A3D" w:rsidRPr="003F7A3D" w:rsidRDefault="00750320" w:rsidP="003F7A3D">
    <w:pPr>
      <w:pStyle w:val="Cabealho"/>
      <w:rPr>
        <w:rFonts w:asciiTheme="minorHAnsi" w:hAnsiTheme="minorHAnsi" w:cstheme="minorHAnsi"/>
        <w:i/>
        <w:iCs/>
        <w:sz w:val="22"/>
        <w:szCs w:val="22"/>
      </w:rPr>
    </w:pPr>
    <w:r w:rsidRPr="003F7A3D">
      <w:rPr>
        <w:rFonts w:asciiTheme="minorHAnsi" w:hAnsiTheme="minorHAnsi" w:cstheme="minorHAnsi"/>
        <w:i/>
        <w:iCs/>
        <w:sz w:val="22"/>
        <w:szCs w:val="22"/>
      </w:rPr>
      <w:t>21.03.2025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039"/>
    <w:multiLevelType w:val="multilevel"/>
    <w:tmpl w:val="8F80AD0C"/>
    <w:lvl w:ilvl="0">
      <w:start w:val="1"/>
      <w:numFmt w:val="decimal"/>
      <w:lvlRestart w:val="0"/>
      <w:lvlText w:val="%1"/>
      <w:lvlJc w:val="left"/>
      <w:pPr>
        <w:tabs>
          <w:tab w:val="num" w:pos="680"/>
        </w:tabs>
        <w:ind w:left="680" w:hanging="680"/>
      </w:pPr>
      <w:rPr>
        <w:rFonts w:ascii="Arial" w:hAnsi="Arial" w:cs="Arial"/>
        <w:b/>
        <w:caps w:val="0"/>
        <w:strike w:val="0"/>
        <w:dstrike w:val="0"/>
        <w:vanish w:val="0"/>
        <w:color w:val="000000"/>
        <w:spacing w:val="7"/>
        <w:w w:val="100"/>
        <w:sz w:val="22"/>
        <w:vertAlign w:val="baseline"/>
        <w:lang w:val="en-US"/>
      </w:rPr>
    </w:lvl>
    <w:lvl w:ilvl="1">
      <w:start w:val="1"/>
      <w:numFmt w:val="decimal"/>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lvlText w:val="(%4)"/>
      <w:lvlJc w:val="left"/>
      <w:pPr>
        <w:tabs>
          <w:tab w:val="num" w:pos="2041"/>
        </w:tabs>
        <w:ind w:left="2041" w:hanging="680"/>
      </w:pPr>
      <w:rPr>
        <w:rFonts w:ascii="Times New Roman" w:hAnsi="Times New Roman" w:cs="Times New Roman" w:hint="default"/>
        <w:b w:val="0"/>
        <w:caps w:val="0"/>
        <w:strike w:val="0"/>
        <w:dstrike w:val="0"/>
        <w:vanish w:val="0"/>
        <w:color w:val="000000"/>
        <w:sz w:val="24"/>
        <w:szCs w:val="24"/>
        <w:vertAlign w:val="baseline"/>
      </w:rPr>
    </w:lvl>
    <w:lvl w:ilvl="4">
      <w:start w:val="1"/>
      <w:numFmt w:val="lowerLetter"/>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F0797A"/>
    <w:multiLevelType w:val="multilevel"/>
    <w:tmpl w:val="15C455EC"/>
    <w:lvl w:ilvl="0">
      <w:start w:val="1"/>
      <w:numFmt w:val="upperLetter"/>
      <w:lvlText w:val="%1."/>
      <w:lvlJc w:val="left"/>
      <w:pPr>
        <w:tabs>
          <w:tab w:val="left" w:pos="288"/>
        </w:tabs>
        <w:ind w:left="720"/>
      </w:pPr>
      <w:rPr>
        <w:rFonts w:ascii="Arial" w:eastAsia="Arial Narrow" w:hAnsi="Arial" w:cs="Arial" w:hint="default"/>
        <w:strike w:val="0"/>
        <w:color w:val="000000"/>
        <w:spacing w:val="8"/>
        <w:w w:val="100"/>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8F7A2B"/>
    <w:multiLevelType w:val="hybridMultilevel"/>
    <w:tmpl w:val="51E8962A"/>
    <w:lvl w:ilvl="0" w:tplc="405C7320">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A03367F"/>
    <w:multiLevelType w:val="multilevel"/>
    <w:tmpl w:val="AB02D95A"/>
    <w:lvl w:ilvl="0">
      <w:start w:val="8"/>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CB93A33"/>
    <w:multiLevelType w:val="hybridMultilevel"/>
    <w:tmpl w:val="1E867BBE"/>
    <w:lvl w:ilvl="0" w:tplc="35F0989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11065F"/>
    <w:multiLevelType w:val="multilevel"/>
    <w:tmpl w:val="171AA426"/>
    <w:lvl w:ilvl="0">
      <w:start w:val="1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78F7B47"/>
    <w:multiLevelType w:val="multilevel"/>
    <w:tmpl w:val="F43E9C02"/>
    <w:lvl w:ilvl="0">
      <w:start w:val="1"/>
      <w:numFmt w:val="decimal"/>
      <w:lvlText w:val="%1."/>
      <w:lvlJc w:val="left"/>
      <w:pPr>
        <w:ind w:left="360" w:hanging="360"/>
      </w:pPr>
      <w:rPr>
        <w:rFonts w:hint="default"/>
        <w:b/>
        <w:lang w:val="pt-P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8B2672"/>
    <w:multiLevelType w:val="singleLevel"/>
    <w:tmpl w:val="27BEF732"/>
    <w:lvl w:ilvl="0">
      <w:start w:val="1"/>
      <w:numFmt w:val="decimal"/>
      <w:lvlText w:val="%1."/>
      <w:lvlJc w:val="left"/>
      <w:pPr>
        <w:tabs>
          <w:tab w:val="num" w:pos="360"/>
        </w:tabs>
        <w:ind w:left="360" w:hanging="360"/>
      </w:pPr>
      <w:rPr>
        <w:rFonts w:hint="default"/>
      </w:rPr>
    </w:lvl>
  </w:abstractNum>
  <w:abstractNum w:abstractNumId="8" w15:restartNumberingAfterBreak="0">
    <w:nsid w:val="1E8D3C2F"/>
    <w:multiLevelType w:val="hybridMultilevel"/>
    <w:tmpl w:val="47BEA7FA"/>
    <w:lvl w:ilvl="0" w:tplc="11ECDF0C">
      <w:start w:val="10"/>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05E7680"/>
    <w:multiLevelType w:val="hybridMultilevel"/>
    <w:tmpl w:val="1DBE7B88"/>
    <w:lvl w:ilvl="0" w:tplc="0416000F">
      <w:start w:val="1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23E95A19"/>
    <w:multiLevelType w:val="hybridMultilevel"/>
    <w:tmpl w:val="4758700A"/>
    <w:lvl w:ilvl="0" w:tplc="A11C3CF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59047D0"/>
    <w:multiLevelType w:val="hybridMultilevel"/>
    <w:tmpl w:val="72C2EB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83410F"/>
    <w:multiLevelType w:val="multilevel"/>
    <w:tmpl w:val="9EFA4D3A"/>
    <w:lvl w:ilvl="0">
      <w:start w:val="8"/>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2011D5F"/>
    <w:multiLevelType w:val="hybridMultilevel"/>
    <w:tmpl w:val="F2F2AF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33F8F"/>
    <w:multiLevelType w:val="multilevel"/>
    <w:tmpl w:val="8DC2B9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9CE585F"/>
    <w:multiLevelType w:val="hybridMultilevel"/>
    <w:tmpl w:val="9E2EBEAE"/>
    <w:lvl w:ilvl="0" w:tplc="A0F2021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68064F0"/>
    <w:multiLevelType w:val="multilevel"/>
    <w:tmpl w:val="485E8C2A"/>
    <w:lvl w:ilvl="0">
      <w:start w:val="1"/>
      <w:numFmt w:val="decimal"/>
      <w:lvlText w:val="%1."/>
      <w:lvlJc w:val="left"/>
      <w:pPr>
        <w:ind w:left="360" w:hanging="360"/>
      </w:pPr>
      <w:rPr>
        <w:rFonts w:hint="default"/>
        <w:b/>
        <w:lang w:val="pt-PT"/>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BF09C9"/>
    <w:multiLevelType w:val="multilevel"/>
    <w:tmpl w:val="20AA5A3E"/>
    <w:lvl w:ilvl="0">
      <w:start w:val="5"/>
      <w:numFmt w:val="decimal"/>
      <w:pStyle w:val="TextocomMarcador"/>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535B138A"/>
    <w:multiLevelType w:val="hybridMultilevel"/>
    <w:tmpl w:val="300A4BA4"/>
    <w:lvl w:ilvl="0" w:tplc="FFFFFFFF">
      <w:start w:val="1"/>
      <w:numFmt w:val="lowerRoman"/>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63919F7"/>
    <w:multiLevelType w:val="multilevel"/>
    <w:tmpl w:val="5CC444DE"/>
    <w:lvl w:ilvl="0">
      <w:start w:val="1"/>
      <w:numFmt w:val="decimal"/>
      <w:lvlRestart w:val="0"/>
      <w:pStyle w:val="Parties"/>
      <w:lvlText w:val="(%1)"/>
      <w:lvlJc w:val="left"/>
      <w:pPr>
        <w:tabs>
          <w:tab w:val="num" w:pos="680"/>
        </w:tabs>
        <w:ind w:left="680" w:hanging="680"/>
      </w:pPr>
      <w:rPr>
        <w:rFonts w:ascii="Arial" w:hAnsi="Arial" w:cs="Arial"/>
        <w:b/>
        <w:i w:val="0"/>
        <w:caps w:val="0"/>
        <w:strike w:val="0"/>
        <w:dstrike w:val="0"/>
        <w:vanish w:val="0"/>
        <w:color w:val="000000"/>
        <w:sz w:val="20"/>
        <w:vertAlign w:val="baseline"/>
      </w:rPr>
    </w:lvl>
    <w:lvl w:ilvl="1">
      <w:start w:val="1"/>
      <w:numFmt w:val="upperLetter"/>
      <w:lvlRestart w:val="0"/>
      <w:pStyle w:val="Recitals"/>
      <w:lvlText w:val="(%2)"/>
      <w:lvlJc w:val="left"/>
      <w:pPr>
        <w:tabs>
          <w:tab w:val="num" w:pos="680"/>
        </w:tabs>
        <w:ind w:left="680" w:hanging="680"/>
      </w:pPr>
      <w:rPr>
        <w:rFonts w:ascii="Arial" w:hAnsi="Arial" w:cs="Arial"/>
        <w:b w:val="0"/>
        <w:i w:val="0"/>
        <w:caps w:val="0"/>
        <w:strike w:val="0"/>
        <w:dstrike w:val="0"/>
        <w:vanish w:val="0"/>
        <w:color w:val="000000"/>
        <w:sz w:val="20"/>
        <w:vertAlign w:val="baseline"/>
      </w:rPr>
    </w:lvl>
    <w:lvl w:ilvl="2">
      <w:start w:val="1"/>
      <w:numFmt w:val="decimal"/>
      <w:lvlRestart w:val="0"/>
      <w:pStyle w:val="Parties2"/>
      <w:lvlText w:val="(%3)"/>
      <w:lvlJc w:val="left"/>
      <w:pPr>
        <w:tabs>
          <w:tab w:val="num" w:pos="680"/>
        </w:tabs>
        <w:ind w:left="680" w:hanging="680"/>
      </w:pPr>
      <w:rPr>
        <w:rFonts w:ascii="Arial" w:hAnsi="Arial" w:cs="Arial"/>
        <w:b/>
        <w:i w:val="0"/>
        <w:caps w:val="0"/>
        <w:strike w:val="0"/>
        <w:dstrike w:val="0"/>
        <w:vanish w:val="0"/>
        <w:color w:val="000000"/>
        <w:sz w:val="20"/>
        <w:vertAlign w:val="baseline"/>
      </w:rPr>
    </w:lvl>
    <w:lvl w:ilvl="3">
      <w:start w:val="1"/>
      <w:numFmt w:val="upperLetter"/>
      <w:lvlRestart w:val="0"/>
      <w:pStyle w:val="Recitals2"/>
      <w:lvlText w:val="(%4)"/>
      <w:lvlJc w:val="left"/>
      <w:pPr>
        <w:tabs>
          <w:tab w:val="num" w:pos="680"/>
        </w:tabs>
        <w:ind w:left="680" w:hanging="680"/>
      </w:pPr>
      <w:rPr>
        <w:rFonts w:ascii="Arial" w:hAnsi="Arial" w:cs="Arial"/>
        <w:b w:val="0"/>
        <w:i w:val="0"/>
        <w:caps w:val="0"/>
        <w:strike w:val="0"/>
        <w:dstrike w:val="0"/>
        <w:vanish w:val="0"/>
        <w:color w:val="000000"/>
        <w:sz w:val="20"/>
        <w:vertAlign w:val="baseline"/>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0" w15:restartNumberingAfterBreak="0">
    <w:nsid w:val="580C1CBB"/>
    <w:multiLevelType w:val="multilevel"/>
    <w:tmpl w:val="51E8962A"/>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89D472F"/>
    <w:multiLevelType w:val="hybridMultilevel"/>
    <w:tmpl w:val="070A6B44"/>
    <w:lvl w:ilvl="0" w:tplc="FAD8CC6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E040B8D"/>
    <w:multiLevelType w:val="hybridMultilevel"/>
    <w:tmpl w:val="29E826FC"/>
    <w:lvl w:ilvl="0" w:tplc="F0D6D312">
      <w:start w:val="17"/>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ED00DB7"/>
    <w:multiLevelType w:val="multilevel"/>
    <w:tmpl w:val="485E8C2A"/>
    <w:lvl w:ilvl="0">
      <w:start w:val="1"/>
      <w:numFmt w:val="decimal"/>
      <w:lvlText w:val="%1."/>
      <w:lvlJc w:val="left"/>
      <w:pPr>
        <w:ind w:left="360" w:hanging="360"/>
      </w:pPr>
      <w:rPr>
        <w:rFonts w:hint="default"/>
        <w:b/>
        <w:lang w:val="pt-PT"/>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073E1B"/>
    <w:multiLevelType w:val="hybridMultilevel"/>
    <w:tmpl w:val="9EFA4D3A"/>
    <w:lvl w:ilvl="0" w:tplc="132CEDA8">
      <w:start w:val="8"/>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3545BFE"/>
    <w:multiLevelType w:val="multilevel"/>
    <w:tmpl w:val="D6AC2ECE"/>
    <w:lvl w:ilvl="0">
      <w:start w:val="15"/>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76B35F5"/>
    <w:multiLevelType w:val="hybridMultilevel"/>
    <w:tmpl w:val="C34CEB5E"/>
    <w:lvl w:ilvl="0" w:tplc="F3D4CBA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78F276B"/>
    <w:multiLevelType w:val="hybridMultilevel"/>
    <w:tmpl w:val="C34CEB5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1D1232"/>
    <w:multiLevelType w:val="multilevel"/>
    <w:tmpl w:val="5742055E"/>
    <w:lvl w:ilvl="0">
      <w:start w:val="1"/>
      <w:numFmt w:val="decimal"/>
      <w:pStyle w:val="Level1"/>
      <w:lvlText w:val="%1"/>
      <w:lvlJc w:val="left"/>
      <w:pPr>
        <w:tabs>
          <w:tab w:val="num" w:pos="680"/>
        </w:tabs>
        <w:ind w:left="680" w:hanging="680"/>
      </w:pPr>
      <w:rPr>
        <w:rFonts w:cs="Times New Roman" w:hint="default"/>
        <w:b/>
        <w:i w:val="0"/>
        <w:sz w:val="22"/>
      </w:rPr>
    </w:lvl>
    <w:lvl w:ilvl="1">
      <w:start w:val="1"/>
      <w:numFmt w:val="decimal"/>
      <w:pStyle w:val="Level2"/>
      <w:lvlText w:val="%1.%2"/>
      <w:lvlJc w:val="left"/>
      <w:pPr>
        <w:tabs>
          <w:tab w:val="num" w:pos="680"/>
        </w:tabs>
        <w:ind w:left="680" w:hanging="680"/>
      </w:pPr>
      <w:rPr>
        <w:rFonts w:cs="Times New Roman" w:hint="default"/>
        <w:b/>
        <w:i w:val="0"/>
        <w:sz w:val="21"/>
      </w:rPr>
    </w:lvl>
    <w:lvl w:ilvl="2">
      <w:start w:val="1"/>
      <w:numFmt w:val="decimal"/>
      <w:pStyle w:val="Level3"/>
      <w:lvlText w:val="%1.%2.%3"/>
      <w:lvlJc w:val="left"/>
      <w:pPr>
        <w:tabs>
          <w:tab w:val="num" w:pos="1361"/>
        </w:tabs>
        <w:ind w:left="1361" w:hanging="681"/>
      </w:pPr>
      <w:rPr>
        <w:rFonts w:cs="Times New Roman" w:hint="default"/>
        <w:b/>
        <w:i w:val="0"/>
        <w:sz w:val="20"/>
        <w:szCs w:val="20"/>
      </w:rPr>
    </w:lvl>
    <w:lvl w:ilvl="3">
      <w:start w:val="1"/>
      <w:numFmt w:val="lowerRoman"/>
      <w:pStyle w:val="Level4"/>
      <w:lvlText w:val="(%4)"/>
      <w:lvlJc w:val="left"/>
      <w:pPr>
        <w:tabs>
          <w:tab w:val="num" w:pos="2041"/>
        </w:tabs>
        <w:ind w:left="2041" w:hanging="680"/>
      </w:pPr>
      <w:rPr>
        <w:rFonts w:cs="Times New Roman" w:hint="default"/>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29" w15:restartNumberingAfterBreak="0">
    <w:nsid w:val="6DB578F2"/>
    <w:multiLevelType w:val="hybridMultilevel"/>
    <w:tmpl w:val="300A4BA4"/>
    <w:lvl w:ilvl="0" w:tplc="ADB45D86">
      <w:start w:val="1"/>
      <w:numFmt w:val="low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E65706F"/>
    <w:multiLevelType w:val="hybridMultilevel"/>
    <w:tmpl w:val="66C4D7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F95FA4"/>
    <w:multiLevelType w:val="hybridMultilevel"/>
    <w:tmpl w:val="AB02D95A"/>
    <w:lvl w:ilvl="0" w:tplc="F3CC6BEC">
      <w:start w:val="8"/>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4C924EA"/>
    <w:multiLevelType w:val="hybridMultilevel"/>
    <w:tmpl w:val="D6AC2ECE"/>
    <w:lvl w:ilvl="0" w:tplc="1200EF82">
      <w:start w:val="15"/>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7FA005A"/>
    <w:multiLevelType w:val="hybridMultilevel"/>
    <w:tmpl w:val="4238BE10"/>
    <w:lvl w:ilvl="0" w:tplc="F87C75EC">
      <w:start w:val="1"/>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71597702">
    <w:abstractNumId w:val="7"/>
  </w:num>
  <w:num w:numId="2" w16cid:durableId="825896565">
    <w:abstractNumId w:val="9"/>
  </w:num>
  <w:num w:numId="3" w16cid:durableId="756366203">
    <w:abstractNumId w:val="14"/>
  </w:num>
  <w:num w:numId="4" w16cid:durableId="534849027">
    <w:abstractNumId w:val="16"/>
  </w:num>
  <w:num w:numId="5" w16cid:durableId="261499704">
    <w:abstractNumId w:val="5"/>
  </w:num>
  <w:num w:numId="6" w16cid:durableId="280917262">
    <w:abstractNumId w:val="2"/>
  </w:num>
  <w:num w:numId="7" w16cid:durableId="149637725">
    <w:abstractNumId w:val="20"/>
  </w:num>
  <w:num w:numId="8" w16cid:durableId="189530500">
    <w:abstractNumId w:val="24"/>
  </w:num>
  <w:num w:numId="9" w16cid:durableId="1867136523">
    <w:abstractNumId w:val="31"/>
  </w:num>
  <w:num w:numId="10" w16cid:durableId="666177913">
    <w:abstractNumId w:val="3"/>
  </w:num>
  <w:num w:numId="11" w16cid:durableId="1851748683">
    <w:abstractNumId w:val="32"/>
  </w:num>
  <w:num w:numId="12" w16cid:durableId="214464520">
    <w:abstractNumId w:val="17"/>
  </w:num>
  <w:num w:numId="13" w16cid:durableId="1549297069">
    <w:abstractNumId w:val="11"/>
  </w:num>
  <w:num w:numId="14" w16cid:durableId="648096137">
    <w:abstractNumId w:val="12"/>
  </w:num>
  <w:num w:numId="15" w16cid:durableId="173620111">
    <w:abstractNumId w:val="8"/>
  </w:num>
  <w:num w:numId="16" w16cid:durableId="872766968">
    <w:abstractNumId w:val="25"/>
  </w:num>
  <w:num w:numId="17" w16cid:durableId="167331309">
    <w:abstractNumId w:val="22"/>
  </w:num>
  <w:num w:numId="18" w16cid:durableId="722682216">
    <w:abstractNumId w:val="30"/>
  </w:num>
  <w:num w:numId="19" w16cid:durableId="2070380249">
    <w:abstractNumId w:val="13"/>
  </w:num>
  <w:num w:numId="20" w16cid:durableId="1764910789">
    <w:abstractNumId w:val="28"/>
  </w:num>
  <w:num w:numId="21" w16cid:durableId="2027557966">
    <w:abstractNumId w:val="19"/>
  </w:num>
  <w:num w:numId="22" w16cid:durableId="1682584274">
    <w:abstractNumId w:val="10"/>
  </w:num>
  <w:num w:numId="23" w16cid:durableId="1717387475">
    <w:abstractNumId w:val="6"/>
  </w:num>
  <w:num w:numId="24" w16cid:durableId="886450329">
    <w:abstractNumId w:val="0"/>
  </w:num>
  <w:num w:numId="25" w16cid:durableId="1574772657">
    <w:abstractNumId w:val="1"/>
  </w:num>
  <w:num w:numId="26" w16cid:durableId="163013362">
    <w:abstractNumId w:val="23"/>
  </w:num>
  <w:num w:numId="27" w16cid:durableId="680359231">
    <w:abstractNumId w:val="26"/>
  </w:num>
  <w:num w:numId="28" w16cid:durableId="1623615378">
    <w:abstractNumId w:val="27"/>
  </w:num>
  <w:num w:numId="29" w16cid:durableId="1948192687">
    <w:abstractNumId w:val="33"/>
  </w:num>
  <w:num w:numId="30" w16cid:durableId="1713460943">
    <w:abstractNumId w:val="4"/>
  </w:num>
  <w:num w:numId="31" w16cid:durableId="1557205876">
    <w:abstractNumId w:val="21"/>
  </w:num>
  <w:num w:numId="32" w16cid:durableId="967316369">
    <w:abstractNumId w:val="29"/>
  </w:num>
  <w:num w:numId="33" w16cid:durableId="1344087294">
    <w:abstractNumId w:val="18"/>
  </w:num>
  <w:num w:numId="34" w16cid:durableId="18365328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9"/>
  <w:hyphenationZone w:val="425"/>
  <w:drawingGridHorizontalSpacing w:val="26"/>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c3MTU2NANSFgYmZko6SsGpxcWZ+XkgBUa1ADA7L8csAAAA"/>
  </w:docVars>
  <w:rsids>
    <w:rsidRoot w:val="007E5AD8"/>
    <w:rsid w:val="00007484"/>
    <w:rsid w:val="00007A0C"/>
    <w:rsid w:val="00012ADE"/>
    <w:rsid w:val="00016DC5"/>
    <w:rsid w:val="00016F93"/>
    <w:rsid w:val="000239E7"/>
    <w:rsid w:val="00027B05"/>
    <w:rsid w:val="00030E59"/>
    <w:rsid w:val="00032CB6"/>
    <w:rsid w:val="00036650"/>
    <w:rsid w:val="00041371"/>
    <w:rsid w:val="000417C2"/>
    <w:rsid w:val="00050265"/>
    <w:rsid w:val="00051499"/>
    <w:rsid w:val="0005253B"/>
    <w:rsid w:val="00052C54"/>
    <w:rsid w:val="000555A2"/>
    <w:rsid w:val="00056507"/>
    <w:rsid w:val="00056B17"/>
    <w:rsid w:val="0006024C"/>
    <w:rsid w:val="0006115E"/>
    <w:rsid w:val="000644F1"/>
    <w:rsid w:val="00065C84"/>
    <w:rsid w:val="000665C9"/>
    <w:rsid w:val="00066DBC"/>
    <w:rsid w:val="000676A9"/>
    <w:rsid w:val="00071969"/>
    <w:rsid w:val="000738DE"/>
    <w:rsid w:val="00080A4A"/>
    <w:rsid w:val="00084420"/>
    <w:rsid w:val="00097130"/>
    <w:rsid w:val="000A1549"/>
    <w:rsid w:val="000C04E4"/>
    <w:rsid w:val="000C681D"/>
    <w:rsid w:val="000D3C8C"/>
    <w:rsid w:val="000E6B6C"/>
    <w:rsid w:val="000F08C4"/>
    <w:rsid w:val="000F0D3E"/>
    <w:rsid w:val="000F2132"/>
    <w:rsid w:val="001000D7"/>
    <w:rsid w:val="00105939"/>
    <w:rsid w:val="00116F65"/>
    <w:rsid w:val="00123990"/>
    <w:rsid w:val="00134E29"/>
    <w:rsid w:val="0014194B"/>
    <w:rsid w:val="00142621"/>
    <w:rsid w:val="001445EE"/>
    <w:rsid w:val="0014575E"/>
    <w:rsid w:val="0014713D"/>
    <w:rsid w:val="0015173E"/>
    <w:rsid w:val="00156582"/>
    <w:rsid w:val="00156886"/>
    <w:rsid w:val="00162D64"/>
    <w:rsid w:val="00171E0C"/>
    <w:rsid w:val="00176128"/>
    <w:rsid w:val="00177DF3"/>
    <w:rsid w:val="00185954"/>
    <w:rsid w:val="001902FE"/>
    <w:rsid w:val="00196465"/>
    <w:rsid w:val="00197C45"/>
    <w:rsid w:val="001A0346"/>
    <w:rsid w:val="001A48FC"/>
    <w:rsid w:val="001A4F9E"/>
    <w:rsid w:val="001B305F"/>
    <w:rsid w:val="001B4C56"/>
    <w:rsid w:val="001B63F7"/>
    <w:rsid w:val="001C4B93"/>
    <w:rsid w:val="001C6D03"/>
    <w:rsid w:val="001D2EEB"/>
    <w:rsid w:val="001D5943"/>
    <w:rsid w:val="001E1A62"/>
    <w:rsid w:val="001E677F"/>
    <w:rsid w:val="002002D5"/>
    <w:rsid w:val="00206AB3"/>
    <w:rsid w:val="00213874"/>
    <w:rsid w:val="002207D4"/>
    <w:rsid w:val="002248E7"/>
    <w:rsid w:val="002309DC"/>
    <w:rsid w:val="00230CAA"/>
    <w:rsid w:val="00241837"/>
    <w:rsid w:val="0026180F"/>
    <w:rsid w:val="00264E82"/>
    <w:rsid w:val="00265CEB"/>
    <w:rsid w:val="00271777"/>
    <w:rsid w:val="0027246D"/>
    <w:rsid w:val="00274B9E"/>
    <w:rsid w:val="00282026"/>
    <w:rsid w:val="002832C2"/>
    <w:rsid w:val="00290257"/>
    <w:rsid w:val="00295367"/>
    <w:rsid w:val="00295D4D"/>
    <w:rsid w:val="002A1B2C"/>
    <w:rsid w:val="002A6ABC"/>
    <w:rsid w:val="002A6E7C"/>
    <w:rsid w:val="002A6FA5"/>
    <w:rsid w:val="002B015E"/>
    <w:rsid w:val="002B0752"/>
    <w:rsid w:val="002B0A3F"/>
    <w:rsid w:val="002B2AAB"/>
    <w:rsid w:val="002B5212"/>
    <w:rsid w:val="002B558D"/>
    <w:rsid w:val="002C5F81"/>
    <w:rsid w:val="002D16DB"/>
    <w:rsid w:val="002E2439"/>
    <w:rsid w:val="002E3C69"/>
    <w:rsid w:val="002E5E9F"/>
    <w:rsid w:val="002F4185"/>
    <w:rsid w:val="002F684E"/>
    <w:rsid w:val="00307D26"/>
    <w:rsid w:val="00321576"/>
    <w:rsid w:val="003220B7"/>
    <w:rsid w:val="003221ED"/>
    <w:rsid w:val="003238C2"/>
    <w:rsid w:val="00324CCA"/>
    <w:rsid w:val="00326674"/>
    <w:rsid w:val="00331480"/>
    <w:rsid w:val="003348CA"/>
    <w:rsid w:val="00334956"/>
    <w:rsid w:val="00337F1E"/>
    <w:rsid w:val="003414D5"/>
    <w:rsid w:val="00341B5E"/>
    <w:rsid w:val="00341F42"/>
    <w:rsid w:val="00356E3B"/>
    <w:rsid w:val="00365759"/>
    <w:rsid w:val="003677A5"/>
    <w:rsid w:val="00367CE5"/>
    <w:rsid w:val="00373AAE"/>
    <w:rsid w:val="00375C93"/>
    <w:rsid w:val="003835F4"/>
    <w:rsid w:val="003A0374"/>
    <w:rsid w:val="003A58E6"/>
    <w:rsid w:val="003A7B42"/>
    <w:rsid w:val="003C07CE"/>
    <w:rsid w:val="003C2AC2"/>
    <w:rsid w:val="003C3F43"/>
    <w:rsid w:val="003D240D"/>
    <w:rsid w:val="003D2A27"/>
    <w:rsid w:val="003D316C"/>
    <w:rsid w:val="003D6376"/>
    <w:rsid w:val="003E3AA6"/>
    <w:rsid w:val="003E4A35"/>
    <w:rsid w:val="003F7A3D"/>
    <w:rsid w:val="004020DD"/>
    <w:rsid w:val="004179F2"/>
    <w:rsid w:val="0042051D"/>
    <w:rsid w:val="00422446"/>
    <w:rsid w:val="00423E30"/>
    <w:rsid w:val="00423FF6"/>
    <w:rsid w:val="0042661B"/>
    <w:rsid w:val="00434B0D"/>
    <w:rsid w:val="0044097F"/>
    <w:rsid w:val="00442D75"/>
    <w:rsid w:val="00446770"/>
    <w:rsid w:val="0045095B"/>
    <w:rsid w:val="00461E2A"/>
    <w:rsid w:val="00463E62"/>
    <w:rsid w:val="00473862"/>
    <w:rsid w:val="004744FD"/>
    <w:rsid w:val="00475D7F"/>
    <w:rsid w:val="00477F24"/>
    <w:rsid w:val="00486A3A"/>
    <w:rsid w:val="00490007"/>
    <w:rsid w:val="004A047C"/>
    <w:rsid w:val="004A2060"/>
    <w:rsid w:val="004B5B4B"/>
    <w:rsid w:val="004C1C5C"/>
    <w:rsid w:val="004C245E"/>
    <w:rsid w:val="004C44EF"/>
    <w:rsid w:val="004C632A"/>
    <w:rsid w:val="004D5AB4"/>
    <w:rsid w:val="004F2A00"/>
    <w:rsid w:val="004F5D32"/>
    <w:rsid w:val="0050183C"/>
    <w:rsid w:val="005039BC"/>
    <w:rsid w:val="00504F5E"/>
    <w:rsid w:val="00511586"/>
    <w:rsid w:val="00513FDE"/>
    <w:rsid w:val="005155F2"/>
    <w:rsid w:val="00520448"/>
    <w:rsid w:val="005235F7"/>
    <w:rsid w:val="00531A6C"/>
    <w:rsid w:val="00531BAF"/>
    <w:rsid w:val="005373E7"/>
    <w:rsid w:val="00542759"/>
    <w:rsid w:val="005471F1"/>
    <w:rsid w:val="0055012B"/>
    <w:rsid w:val="005520B3"/>
    <w:rsid w:val="00554160"/>
    <w:rsid w:val="00567346"/>
    <w:rsid w:val="00571F6D"/>
    <w:rsid w:val="0057631B"/>
    <w:rsid w:val="00582D38"/>
    <w:rsid w:val="00591CF4"/>
    <w:rsid w:val="005A1174"/>
    <w:rsid w:val="005A31B2"/>
    <w:rsid w:val="005A3DDE"/>
    <w:rsid w:val="005B661F"/>
    <w:rsid w:val="005C05B6"/>
    <w:rsid w:val="005C05CA"/>
    <w:rsid w:val="005E1318"/>
    <w:rsid w:val="005F2272"/>
    <w:rsid w:val="005F2987"/>
    <w:rsid w:val="005F4A5E"/>
    <w:rsid w:val="005F6E2F"/>
    <w:rsid w:val="005F7605"/>
    <w:rsid w:val="00603A92"/>
    <w:rsid w:val="00607CC3"/>
    <w:rsid w:val="006112F3"/>
    <w:rsid w:val="00616520"/>
    <w:rsid w:val="00616E31"/>
    <w:rsid w:val="0061717D"/>
    <w:rsid w:val="0062201A"/>
    <w:rsid w:val="00631469"/>
    <w:rsid w:val="00631EF4"/>
    <w:rsid w:val="00637CB4"/>
    <w:rsid w:val="0064125D"/>
    <w:rsid w:val="00641926"/>
    <w:rsid w:val="006428B8"/>
    <w:rsid w:val="00644DCD"/>
    <w:rsid w:val="006477F7"/>
    <w:rsid w:val="00656BF9"/>
    <w:rsid w:val="00660FFE"/>
    <w:rsid w:val="006632C2"/>
    <w:rsid w:val="00663E3B"/>
    <w:rsid w:val="00665C1C"/>
    <w:rsid w:val="0066615E"/>
    <w:rsid w:val="00667CEC"/>
    <w:rsid w:val="00674131"/>
    <w:rsid w:val="006941B7"/>
    <w:rsid w:val="00696808"/>
    <w:rsid w:val="006973E7"/>
    <w:rsid w:val="00697EDA"/>
    <w:rsid w:val="006A49F4"/>
    <w:rsid w:val="006B18A8"/>
    <w:rsid w:val="006B640B"/>
    <w:rsid w:val="006B6951"/>
    <w:rsid w:val="006C285D"/>
    <w:rsid w:val="006D7D0B"/>
    <w:rsid w:val="006E50A0"/>
    <w:rsid w:val="00700E1A"/>
    <w:rsid w:val="00702A28"/>
    <w:rsid w:val="0070677D"/>
    <w:rsid w:val="00706F58"/>
    <w:rsid w:val="00707748"/>
    <w:rsid w:val="00711C1A"/>
    <w:rsid w:val="00724F32"/>
    <w:rsid w:val="0074074C"/>
    <w:rsid w:val="00747299"/>
    <w:rsid w:val="00750320"/>
    <w:rsid w:val="007524F1"/>
    <w:rsid w:val="00753401"/>
    <w:rsid w:val="00754597"/>
    <w:rsid w:val="00775682"/>
    <w:rsid w:val="007766AB"/>
    <w:rsid w:val="00782D56"/>
    <w:rsid w:val="00785332"/>
    <w:rsid w:val="00787982"/>
    <w:rsid w:val="00790014"/>
    <w:rsid w:val="007A0D71"/>
    <w:rsid w:val="007A188E"/>
    <w:rsid w:val="007A37AF"/>
    <w:rsid w:val="007B1D9C"/>
    <w:rsid w:val="007B4301"/>
    <w:rsid w:val="007C0B8D"/>
    <w:rsid w:val="007C547C"/>
    <w:rsid w:val="007D0F5B"/>
    <w:rsid w:val="007D3F32"/>
    <w:rsid w:val="007D61EC"/>
    <w:rsid w:val="007E0DF0"/>
    <w:rsid w:val="007E5995"/>
    <w:rsid w:val="007E5AD8"/>
    <w:rsid w:val="00803D96"/>
    <w:rsid w:val="0080642F"/>
    <w:rsid w:val="00811DF3"/>
    <w:rsid w:val="008123CF"/>
    <w:rsid w:val="00820EF5"/>
    <w:rsid w:val="00826950"/>
    <w:rsid w:val="008274C8"/>
    <w:rsid w:val="00833D48"/>
    <w:rsid w:val="00834649"/>
    <w:rsid w:val="00836F0B"/>
    <w:rsid w:val="0084005E"/>
    <w:rsid w:val="00845966"/>
    <w:rsid w:val="00853A29"/>
    <w:rsid w:val="00854D96"/>
    <w:rsid w:val="008553FB"/>
    <w:rsid w:val="00860862"/>
    <w:rsid w:val="008711C7"/>
    <w:rsid w:val="008805B5"/>
    <w:rsid w:val="00881445"/>
    <w:rsid w:val="00882011"/>
    <w:rsid w:val="00882309"/>
    <w:rsid w:val="00883648"/>
    <w:rsid w:val="00886747"/>
    <w:rsid w:val="00887C9E"/>
    <w:rsid w:val="00887FC5"/>
    <w:rsid w:val="00890CBE"/>
    <w:rsid w:val="0089178B"/>
    <w:rsid w:val="0089258A"/>
    <w:rsid w:val="00893769"/>
    <w:rsid w:val="00893F53"/>
    <w:rsid w:val="008A065B"/>
    <w:rsid w:val="008A0B55"/>
    <w:rsid w:val="008A1A1E"/>
    <w:rsid w:val="008A1AF9"/>
    <w:rsid w:val="008A1F8B"/>
    <w:rsid w:val="008A46A7"/>
    <w:rsid w:val="008A608C"/>
    <w:rsid w:val="008A6A21"/>
    <w:rsid w:val="008B4096"/>
    <w:rsid w:val="008C62F9"/>
    <w:rsid w:val="008C75BA"/>
    <w:rsid w:val="008D1512"/>
    <w:rsid w:val="008D2BDB"/>
    <w:rsid w:val="008D6F1B"/>
    <w:rsid w:val="008E0560"/>
    <w:rsid w:val="008E6791"/>
    <w:rsid w:val="008F05B6"/>
    <w:rsid w:val="008F6648"/>
    <w:rsid w:val="00900DA1"/>
    <w:rsid w:val="00903822"/>
    <w:rsid w:val="00905E0A"/>
    <w:rsid w:val="0090752A"/>
    <w:rsid w:val="0091117F"/>
    <w:rsid w:val="00934915"/>
    <w:rsid w:val="00940592"/>
    <w:rsid w:val="00944AB4"/>
    <w:rsid w:val="0094512F"/>
    <w:rsid w:val="0097185E"/>
    <w:rsid w:val="009735E3"/>
    <w:rsid w:val="00973687"/>
    <w:rsid w:val="00974665"/>
    <w:rsid w:val="009870C3"/>
    <w:rsid w:val="009A73EB"/>
    <w:rsid w:val="009B5918"/>
    <w:rsid w:val="009B6752"/>
    <w:rsid w:val="009C570D"/>
    <w:rsid w:val="009D5E7A"/>
    <w:rsid w:val="009D7A0E"/>
    <w:rsid w:val="009E6AC2"/>
    <w:rsid w:val="009F38CE"/>
    <w:rsid w:val="00A01D49"/>
    <w:rsid w:val="00A05E18"/>
    <w:rsid w:val="00A32B80"/>
    <w:rsid w:val="00A42AD2"/>
    <w:rsid w:val="00A44B43"/>
    <w:rsid w:val="00A465B6"/>
    <w:rsid w:val="00A46D44"/>
    <w:rsid w:val="00A526CF"/>
    <w:rsid w:val="00A632DC"/>
    <w:rsid w:val="00A647EF"/>
    <w:rsid w:val="00A65D16"/>
    <w:rsid w:val="00A670A4"/>
    <w:rsid w:val="00A84E08"/>
    <w:rsid w:val="00A92E8D"/>
    <w:rsid w:val="00A95991"/>
    <w:rsid w:val="00AB037B"/>
    <w:rsid w:val="00AB1AEE"/>
    <w:rsid w:val="00AB49B6"/>
    <w:rsid w:val="00AB4BAE"/>
    <w:rsid w:val="00AB61E7"/>
    <w:rsid w:val="00AB65F3"/>
    <w:rsid w:val="00AC7E66"/>
    <w:rsid w:val="00AD0166"/>
    <w:rsid w:val="00AE1314"/>
    <w:rsid w:val="00AE40A0"/>
    <w:rsid w:val="00AF5631"/>
    <w:rsid w:val="00AF5E65"/>
    <w:rsid w:val="00AF79EB"/>
    <w:rsid w:val="00B01DE7"/>
    <w:rsid w:val="00B03BDB"/>
    <w:rsid w:val="00B074AF"/>
    <w:rsid w:val="00B10B76"/>
    <w:rsid w:val="00B13BB6"/>
    <w:rsid w:val="00B200B9"/>
    <w:rsid w:val="00B277C1"/>
    <w:rsid w:val="00B3083C"/>
    <w:rsid w:val="00B32681"/>
    <w:rsid w:val="00B35B32"/>
    <w:rsid w:val="00B362A9"/>
    <w:rsid w:val="00B51CFA"/>
    <w:rsid w:val="00B5452E"/>
    <w:rsid w:val="00B63356"/>
    <w:rsid w:val="00B765A0"/>
    <w:rsid w:val="00B8088E"/>
    <w:rsid w:val="00B910E6"/>
    <w:rsid w:val="00B92F91"/>
    <w:rsid w:val="00B943A2"/>
    <w:rsid w:val="00BA6314"/>
    <w:rsid w:val="00BB3BA3"/>
    <w:rsid w:val="00BB45FE"/>
    <w:rsid w:val="00BB6548"/>
    <w:rsid w:val="00BC3467"/>
    <w:rsid w:val="00BC4619"/>
    <w:rsid w:val="00BD1C73"/>
    <w:rsid w:val="00BD2F27"/>
    <w:rsid w:val="00BE12AD"/>
    <w:rsid w:val="00BE22CE"/>
    <w:rsid w:val="00BE282A"/>
    <w:rsid w:val="00BF3DCD"/>
    <w:rsid w:val="00C01FF2"/>
    <w:rsid w:val="00C02059"/>
    <w:rsid w:val="00C04071"/>
    <w:rsid w:val="00C06B99"/>
    <w:rsid w:val="00C07137"/>
    <w:rsid w:val="00C07A1B"/>
    <w:rsid w:val="00C103A9"/>
    <w:rsid w:val="00C14454"/>
    <w:rsid w:val="00C22773"/>
    <w:rsid w:val="00C22797"/>
    <w:rsid w:val="00C2728A"/>
    <w:rsid w:val="00C30785"/>
    <w:rsid w:val="00C32A1D"/>
    <w:rsid w:val="00C36C53"/>
    <w:rsid w:val="00C378E4"/>
    <w:rsid w:val="00C379A3"/>
    <w:rsid w:val="00C478CE"/>
    <w:rsid w:val="00C501B0"/>
    <w:rsid w:val="00C50B08"/>
    <w:rsid w:val="00C73025"/>
    <w:rsid w:val="00C86037"/>
    <w:rsid w:val="00C940C7"/>
    <w:rsid w:val="00CA2B98"/>
    <w:rsid w:val="00CA6A08"/>
    <w:rsid w:val="00CA7196"/>
    <w:rsid w:val="00CA78E5"/>
    <w:rsid w:val="00CA79FF"/>
    <w:rsid w:val="00CB0C2E"/>
    <w:rsid w:val="00CB1F30"/>
    <w:rsid w:val="00CB2B50"/>
    <w:rsid w:val="00CB3C66"/>
    <w:rsid w:val="00CB6923"/>
    <w:rsid w:val="00CB6C01"/>
    <w:rsid w:val="00CC1D86"/>
    <w:rsid w:val="00CC3891"/>
    <w:rsid w:val="00CC7B53"/>
    <w:rsid w:val="00CD4A91"/>
    <w:rsid w:val="00CD7E54"/>
    <w:rsid w:val="00CE2E79"/>
    <w:rsid w:val="00CE6024"/>
    <w:rsid w:val="00CE6F47"/>
    <w:rsid w:val="00CF1E99"/>
    <w:rsid w:val="00CF353B"/>
    <w:rsid w:val="00D04C11"/>
    <w:rsid w:val="00D057E2"/>
    <w:rsid w:val="00D15A40"/>
    <w:rsid w:val="00D24AFA"/>
    <w:rsid w:val="00D442A9"/>
    <w:rsid w:val="00D46953"/>
    <w:rsid w:val="00D46C77"/>
    <w:rsid w:val="00D5206E"/>
    <w:rsid w:val="00D522D8"/>
    <w:rsid w:val="00D55B79"/>
    <w:rsid w:val="00D64FDF"/>
    <w:rsid w:val="00D71FB7"/>
    <w:rsid w:val="00D8165E"/>
    <w:rsid w:val="00D81D3D"/>
    <w:rsid w:val="00D8387E"/>
    <w:rsid w:val="00D87D87"/>
    <w:rsid w:val="00D93330"/>
    <w:rsid w:val="00D944DA"/>
    <w:rsid w:val="00D95879"/>
    <w:rsid w:val="00D97AC3"/>
    <w:rsid w:val="00DA23B5"/>
    <w:rsid w:val="00DA7094"/>
    <w:rsid w:val="00DA7D30"/>
    <w:rsid w:val="00DB2F6C"/>
    <w:rsid w:val="00DB3A5B"/>
    <w:rsid w:val="00DB451D"/>
    <w:rsid w:val="00DC1B0E"/>
    <w:rsid w:val="00DC1B36"/>
    <w:rsid w:val="00DC375B"/>
    <w:rsid w:val="00DC76B0"/>
    <w:rsid w:val="00DD1C91"/>
    <w:rsid w:val="00DD496A"/>
    <w:rsid w:val="00DD7522"/>
    <w:rsid w:val="00DE51F9"/>
    <w:rsid w:val="00DE6A01"/>
    <w:rsid w:val="00DF04C7"/>
    <w:rsid w:val="00DF2149"/>
    <w:rsid w:val="00DF216F"/>
    <w:rsid w:val="00DF3E37"/>
    <w:rsid w:val="00E01E81"/>
    <w:rsid w:val="00E0588D"/>
    <w:rsid w:val="00E05D16"/>
    <w:rsid w:val="00E16AD9"/>
    <w:rsid w:val="00E16B9E"/>
    <w:rsid w:val="00E2461E"/>
    <w:rsid w:val="00E35667"/>
    <w:rsid w:val="00E43787"/>
    <w:rsid w:val="00E46578"/>
    <w:rsid w:val="00E50CC6"/>
    <w:rsid w:val="00E5694A"/>
    <w:rsid w:val="00E623B1"/>
    <w:rsid w:val="00E63694"/>
    <w:rsid w:val="00E65AE2"/>
    <w:rsid w:val="00E67187"/>
    <w:rsid w:val="00E711D2"/>
    <w:rsid w:val="00E743DE"/>
    <w:rsid w:val="00E74C4D"/>
    <w:rsid w:val="00E8401D"/>
    <w:rsid w:val="00E853B7"/>
    <w:rsid w:val="00E86E9D"/>
    <w:rsid w:val="00E90508"/>
    <w:rsid w:val="00E90565"/>
    <w:rsid w:val="00E9072B"/>
    <w:rsid w:val="00E923B6"/>
    <w:rsid w:val="00EB4F27"/>
    <w:rsid w:val="00EB79C2"/>
    <w:rsid w:val="00ED0A20"/>
    <w:rsid w:val="00ED1052"/>
    <w:rsid w:val="00ED7F82"/>
    <w:rsid w:val="00EE5EC0"/>
    <w:rsid w:val="00F03552"/>
    <w:rsid w:val="00F0577F"/>
    <w:rsid w:val="00F07C95"/>
    <w:rsid w:val="00F135C9"/>
    <w:rsid w:val="00F13A39"/>
    <w:rsid w:val="00F21AEC"/>
    <w:rsid w:val="00F2242E"/>
    <w:rsid w:val="00F23D81"/>
    <w:rsid w:val="00F2436B"/>
    <w:rsid w:val="00F328B6"/>
    <w:rsid w:val="00F32F0E"/>
    <w:rsid w:val="00F40443"/>
    <w:rsid w:val="00F428E5"/>
    <w:rsid w:val="00F53C7D"/>
    <w:rsid w:val="00F56E68"/>
    <w:rsid w:val="00F5703F"/>
    <w:rsid w:val="00F615A7"/>
    <w:rsid w:val="00F72AA0"/>
    <w:rsid w:val="00F849D7"/>
    <w:rsid w:val="00F905F5"/>
    <w:rsid w:val="00F93ED0"/>
    <w:rsid w:val="00F94921"/>
    <w:rsid w:val="00F9493A"/>
    <w:rsid w:val="00F9552D"/>
    <w:rsid w:val="00F97254"/>
    <w:rsid w:val="00F977AE"/>
    <w:rsid w:val="00FA3016"/>
    <w:rsid w:val="00FA373C"/>
    <w:rsid w:val="00FB5EC3"/>
    <w:rsid w:val="00FC01B3"/>
    <w:rsid w:val="00FC0CE3"/>
    <w:rsid w:val="00FC5CC3"/>
    <w:rsid w:val="00FC7BBE"/>
    <w:rsid w:val="00FD1411"/>
    <w:rsid w:val="00FD4C14"/>
    <w:rsid w:val="00FE2316"/>
    <w:rsid w:val="00FF3839"/>
    <w:rsid w:val="00FF3B3A"/>
    <w:rsid w:val="00FF6F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F97F592"/>
  <w15:chartTrackingRefBased/>
  <w15:docId w15:val="{BBBCF660-9990-44E6-8485-F215916C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1B3"/>
    <w:rPr>
      <w:sz w:val="24"/>
      <w:szCs w:val="24"/>
    </w:rPr>
  </w:style>
  <w:style w:type="paragraph" w:styleId="Ttulo1">
    <w:name w:val="heading 1"/>
    <w:basedOn w:val="Normal"/>
    <w:next w:val="Normal"/>
    <w:qFormat/>
    <w:pPr>
      <w:spacing w:line="360" w:lineRule="exact"/>
      <w:outlineLvl w:val="0"/>
    </w:pPr>
    <w:rPr>
      <w:b/>
      <w:caps/>
      <w:noProof/>
    </w:rPr>
  </w:style>
  <w:style w:type="paragraph" w:styleId="Ttulo2">
    <w:name w:val="heading 2"/>
    <w:basedOn w:val="Normal"/>
    <w:next w:val="Normal"/>
    <w:qFormat/>
    <w:pPr>
      <w:spacing w:line="360" w:lineRule="exact"/>
      <w:outlineLvl w:val="1"/>
    </w:pPr>
    <w:rPr>
      <w:b/>
    </w:rPr>
  </w:style>
  <w:style w:type="paragraph" w:styleId="Ttulo3">
    <w:name w:val="heading 3"/>
    <w:basedOn w:val="Normal"/>
    <w:next w:val="Normal"/>
    <w:link w:val="Ttulo3Char"/>
    <w:qFormat/>
    <w:pPr>
      <w:spacing w:line="360" w:lineRule="exact"/>
      <w:outlineLvl w:val="2"/>
    </w:pPr>
    <w:rPr>
      <w:b/>
    </w:rPr>
  </w:style>
  <w:style w:type="paragraph" w:styleId="Ttulo4">
    <w:name w:val="heading 4"/>
    <w:basedOn w:val="Normal"/>
    <w:next w:val="Normal"/>
    <w:link w:val="Ttulo4Char"/>
    <w:semiHidden/>
    <w:unhideWhenUsed/>
    <w:qFormat/>
    <w:pPr>
      <w:keepNext/>
      <w:keepLines/>
      <w:spacing w:before="200"/>
      <w:outlineLvl w:val="3"/>
    </w:pPr>
    <w:rPr>
      <w:rFonts w:asciiTheme="majorHAnsi" w:eastAsiaTheme="majorEastAsia" w:hAnsiTheme="majorHAnsi" w:cstheme="majorBidi"/>
      <w:b/>
      <w:bCs/>
      <w:i/>
      <w:iCs/>
      <w:color w:val="5B9BD5" w:themeColor="accent1"/>
    </w:rPr>
  </w:style>
  <w:style w:type="paragraph" w:styleId="Ttulo6">
    <w:name w:val="heading 6"/>
    <w:basedOn w:val="Normal"/>
    <w:next w:val="Normal"/>
    <w:link w:val="Ttulo6Char"/>
    <w:qFormat/>
    <w:pPr>
      <w:spacing w:before="240" w:after="60"/>
      <w:outlineLvl w:val="5"/>
    </w:pPr>
    <w:rPr>
      <w:b/>
      <w:bCs/>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jc w:val="right"/>
    </w:pPr>
  </w:style>
  <w:style w:type="character" w:styleId="Nmerodepgina">
    <w:name w:val="page number"/>
    <w:basedOn w:val="Fontepargpadro"/>
  </w:style>
  <w:style w:type="paragraph" w:styleId="Rodap">
    <w:name w:val="footer"/>
    <w:basedOn w:val="Normal"/>
    <w:pPr>
      <w:spacing w:line="1440" w:lineRule="auto"/>
    </w:pPr>
    <w:rPr>
      <w:sz w:val="14"/>
      <w:lang w:val="en-US"/>
    </w:rPr>
  </w:style>
  <w:style w:type="paragraph" w:styleId="Textodenotaderodap">
    <w:name w:val="footnote text"/>
    <w:basedOn w:val="Normal"/>
    <w:link w:val="TextodenotaderodapChar"/>
    <w:uiPriority w:val="99"/>
    <w:semiHidden/>
    <w:pPr>
      <w:tabs>
        <w:tab w:val="left" w:pos="284"/>
      </w:tabs>
      <w:ind w:left="284" w:hanging="284"/>
    </w:pPr>
    <w:rPr>
      <w:b/>
      <w:i/>
      <w:sz w:val="16"/>
      <w:lang w:val="en-US"/>
    </w:rPr>
  </w:style>
  <w:style w:type="character" w:customStyle="1" w:styleId="Ttulo4Char">
    <w:name w:val="Título 4 Char"/>
    <w:basedOn w:val="Fontepargpadro"/>
    <w:link w:val="Ttulo4"/>
    <w:semiHidden/>
    <w:rPr>
      <w:rFonts w:asciiTheme="majorHAnsi" w:eastAsiaTheme="majorEastAsia" w:hAnsiTheme="majorHAnsi" w:cstheme="majorBidi"/>
      <w:b/>
      <w:bCs/>
      <w:i/>
      <w:iCs/>
      <w:color w:val="5B9BD5" w:themeColor="accent1"/>
      <w:sz w:val="24"/>
    </w:rPr>
  </w:style>
  <w:style w:type="character" w:customStyle="1" w:styleId="Ttulo6Char">
    <w:name w:val="Título 6 Char"/>
    <w:basedOn w:val="Fontepargpadro"/>
    <w:link w:val="Ttulo6"/>
    <w:rPr>
      <w:b/>
      <w:bCs/>
      <w:sz w:val="22"/>
      <w:szCs w:val="22"/>
    </w:rPr>
  </w:style>
  <w:style w:type="paragraph" w:customStyle="1" w:styleId="citcar">
    <w:name w:val="citcar"/>
    <w:basedOn w:val="Normal"/>
    <w:pPr>
      <w:widowControl w:val="0"/>
      <w:spacing w:line="240" w:lineRule="exact"/>
      <w:ind w:left="1134" w:right="1134"/>
    </w:pPr>
  </w:style>
  <w:style w:type="paragraph" w:customStyle="1" w:styleId="citpet">
    <w:name w:val="citpet"/>
    <w:basedOn w:val="citcar"/>
    <w:pPr>
      <w:ind w:left="1418" w:right="1418"/>
    </w:pPr>
    <w:rPr>
      <w:sz w:val="20"/>
    </w:rPr>
  </w:style>
  <w:style w:type="paragraph" w:customStyle="1" w:styleId="1">
    <w:name w:val="1"/>
    <w:basedOn w:val="Normal"/>
    <w:pPr>
      <w:spacing w:after="160" w:line="240" w:lineRule="exact"/>
    </w:pPr>
    <w:rPr>
      <w:rFonts w:ascii="Verdana" w:hAnsi="Verdana"/>
      <w:sz w:val="20"/>
      <w:lang w:val="en-US" w:eastAsia="en-US"/>
    </w:rPr>
  </w:style>
  <w:style w:type="character" w:styleId="Refdenotaderodap">
    <w:name w:val="footnote reference"/>
    <w:uiPriority w:val="99"/>
    <w:rPr>
      <w:vertAlign w:val="superscript"/>
    </w:rPr>
  </w:style>
  <w:style w:type="paragraph" w:styleId="Corpodetexto">
    <w:name w:val="Body Text"/>
    <w:aliases w:val="bt,BT,bt wide,body text,b,CG-Single Sp 0.5,s2,!Body Text .5(J),bd,5,.BT,CG-Single Sp 0.51,s21,Second Heading 2,!Body Text .5s2(J)"/>
    <w:basedOn w:val="Normal"/>
    <w:link w:val="CorpodetextoChar"/>
    <w:rPr>
      <w:sz w:val="18"/>
      <w:szCs w:val="18"/>
    </w:rPr>
  </w:style>
  <w:style w:type="character" w:customStyle="1" w:styleId="CorpodetextoChar">
    <w:name w:val="Corpo de texto Char"/>
    <w:aliases w:val="bt Char,BT Char,bt wide Char,body text Char,b Char,CG-Single Sp 0.5 Char,s2 Char,!Body Text .5(J) Char,bd Char,5 Char,.BT Char,CG-Single Sp 0.51 Char,s21 Char,Second Heading 2 Char,!Body Text .5s2(J) Char"/>
    <w:basedOn w:val="Fontepargpadro"/>
    <w:link w:val="Corpodetexto"/>
    <w:rPr>
      <w:sz w:val="18"/>
      <w:szCs w:val="18"/>
    </w:rPr>
  </w:style>
  <w:style w:type="paragraph" w:styleId="Legenda">
    <w:name w:val="caption"/>
    <w:basedOn w:val="Normal"/>
    <w:next w:val="Normal"/>
    <w:qFormat/>
    <w:pPr>
      <w:spacing w:before="40" w:after="40"/>
      <w:jc w:val="center"/>
    </w:pPr>
    <w:rPr>
      <w:b/>
      <w:bCs/>
      <w:sz w:val="18"/>
      <w:szCs w:val="18"/>
    </w:rPr>
  </w:style>
  <w:style w:type="paragraph" w:styleId="Recuodecorpodetexto">
    <w:name w:val="Body Text Indent"/>
    <w:basedOn w:val="Normal"/>
    <w:link w:val="RecuodecorpodetextoChar"/>
    <w:pPr>
      <w:spacing w:after="120"/>
      <w:ind w:left="283"/>
    </w:pPr>
  </w:style>
  <w:style w:type="character" w:customStyle="1" w:styleId="RecuodecorpodetextoChar">
    <w:name w:val="Recuo de corpo de texto Char"/>
    <w:basedOn w:val="Fontepargpadro"/>
    <w:link w:val="Recuodecorpodetexto"/>
    <w:rPr>
      <w:rFonts w:ascii="Tahoma" w:hAnsi="Tahoma"/>
      <w:sz w:val="24"/>
    </w:rPr>
  </w:style>
  <w:style w:type="paragraph" w:styleId="Recuodecorpodetexto3">
    <w:name w:val="Body Text Indent 3"/>
    <w:basedOn w:val="Normal"/>
    <w:link w:val="Recuodecorpodetexto3Char"/>
    <w:pPr>
      <w:spacing w:after="120"/>
      <w:ind w:left="283"/>
    </w:pPr>
    <w:rPr>
      <w:sz w:val="16"/>
      <w:szCs w:val="16"/>
    </w:rPr>
  </w:style>
  <w:style w:type="character" w:customStyle="1" w:styleId="Recuodecorpodetexto3Char">
    <w:name w:val="Recuo de corpo de texto 3 Char"/>
    <w:basedOn w:val="Fontepargpadro"/>
    <w:link w:val="Recuodecorpodetexto3"/>
    <w:rPr>
      <w:rFonts w:ascii="Tahoma" w:hAnsi="Tahoma"/>
      <w:sz w:val="16"/>
      <w:szCs w:val="16"/>
    </w:rPr>
  </w:style>
  <w:style w:type="paragraph" w:styleId="Corpodetexto2">
    <w:name w:val="Body Text 2"/>
    <w:basedOn w:val="Normal"/>
    <w:link w:val="Corpodetexto2Char"/>
    <w:pPr>
      <w:spacing w:after="120" w:line="480" w:lineRule="auto"/>
    </w:pPr>
  </w:style>
  <w:style w:type="character" w:customStyle="1" w:styleId="Corpodetexto2Char">
    <w:name w:val="Corpo de texto 2 Char"/>
    <w:basedOn w:val="Fontepargpadro"/>
    <w:link w:val="Corpodetexto2"/>
    <w:rPr>
      <w:rFonts w:ascii="Tahoma" w:hAnsi="Tahoma"/>
      <w:sz w:val="24"/>
    </w:rPr>
  </w:style>
  <w:style w:type="character" w:styleId="Hyperlink">
    <w:name w:val="Hyperlink"/>
    <w:rPr>
      <w:color w:val="0000FF"/>
      <w:u w:val="single"/>
    </w:rPr>
  </w:style>
  <w:style w:type="paragraph" w:customStyle="1" w:styleId="p0">
    <w:name w:val="p0"/>
    <w:basedOn w:val="Normal"/>
    <w:pPr>
      <w:widowControl w:val="0"/>
      <w:tabs>
        <w:tab w:val="left" w:pos="720"/>
      </w:tabs>
      <w:spacing w:line="240" w:lineRule="atLeast"/>
    </w:pPr>
    <w:rPr>
      <w:rFonts w:ascii="Times" w:hAnsi="Times" w:cs="Arial Unicode MS"/>
      <w:snapToGrid w:val="0"/>
    </w:rPr>
  </w:style>
  <w:style w:type="paragraph" w:customStyle="1" w:styleId="CharCharCharCharChar">
    <w:name w:val="Char Char Char Char Char"/>
    <w:basedOn w:val="Normal"/>
    <w:pPr>
      <w:spacing w:after="160" w:line="240" w:lineRule="exact"/>
    </w:pPr>
    <w:rPr>
      <w:rFonts w:ascii="Verdana" w:hAnsi="Verdana"/>
      <w:sz w:val="20"/>
      <w:lang w:val="en-US" w:eastAsia="en-US"/>
    </w:rPr>
  </w:style>
  <w:style w:type="paragraph" w:customStyle="1" w:styleId="CharChar1CharChar5CharCharChar3CharCharCharCharCharCharCharCharChar2CharCharCharCharCharCharCharChar1CharCharChar">
    <w:name w:val="Char Char1 Char Char5 Char Char Char3 Char Char Char Char Char Char Char Char Char2 Char Char Char Char Char Char Char Char1 Char Char Char"/>
    <w:basedOn w:val="Normal"/>
    <w:pPr>
      <w:spacing w:after="160" w:line="240" w:lineRule="exact"/>
    </w:pPr>
    <w:rPr>
      <w:rFonts w:ascii="Verdana" w:eastAsia="MS Mincho" w:hAnsi="Verdana" w:cs="Verdana"/>
      <w:sz w:val="20"/>
      <w:lang w:val="en-US" w:eastAsia="en-US"/>
    </w:rPr>
  </w:style>
  <w:style w:type="paragraph" w:customStyle="1" w:styleId="Char1">
    <w:name w:val="Char1"/>
    <w:basedOn w:val="Normal"/>
    <w:pPr>
      <w:spacing w:after="160" w:line="240" w:lineRule="exact"/>
    </w:pPr>
    <w:rPr>
      <w:rFonts w:ascii="Verdana" w:hAnsi="Verdana"/>
      <w:sz w:val="20"/>
      <w:lang w:val="en-US" w:eastAsia="en-US"/>
    </w:rPr>
  </w:style>
  <w:style w:type="paragraph" w:customStyle="1" w:styleId="NATURA-TEXTONORMAL">
    <w:name w:val="NATURA - TEXTO NORMAL"/>
    <w:link w:val="NATURA-TEXTONORMALChar"/>
    <w:pPr>
      <w:spacing w:after="200"/>
      <w:jc w:val="both"/>
    </w:pPr>
    <w:rPr>
      <w:rFonts w:ascii="Tahoma" w:eastAsia="MS Mincho" w:hAnsi="Tahoma" w:cs="Tahoma"/>
    </w:rPr>
  </w:style>
  <w:style w:type="character" w:customStyle="1" w:styleId="NATURA-TEXTONORMALChar">
    <w:name w:val="NATURA - TEXTO NORMAL Char"/>
    <w:link w:val="NATURA-TEXTONORMAL"/>
    <w:rPr>
      <w:rFonts w:ascii="Tahoma" w:eastAsia="MS Mincho" w:hAnsi="Tahoma" w:cs="Tahoma"/>
    </w:rPr>
  </w:style>
  <w:style w:type="paragraph" w:styleId="Textodebalo">
    <w:name w:val="Balloon Text"/>
    <w:basedOn w:val="Normal"/>
    <w:link w:val="TextodebaloChar"/>
    <w:rPr>
      <w:rFonts w:cs="Tahoma"/>
      <w:sz w:val="16"/>
      <w:szCs w:val="16"/>
    </w:rPr>
  </w:style>
  <w:style w:type="character" w:customStyle="1" w:styleId="TextodebaloChar">
    <w:name w:val="Texto de balão Char"/>
    <w:basedOn w:val="Fontepargpadro"/>
    <w:link w:val="Textodebalo"/>
    <w:rPr>
      <w:rFonts w:ascii="Tahoma" w:hAnsi="Tahoma" w:cs="Tahoma"/>
      <w:sz w:val="16"/>
      <w:szCs w:val="16"/>
    </w:rPr>
  </w:style>
  <w:style w:type="paragraph" w:styleId="Corpodetexto3">
    <w:name w:val="Body Text 3"/>
    <w:basedOn w:val="Normal"/>
    <w:link w:val="Corpodetexto3Char"/>
    <w:pPr>
      <w:spacing w:after="120"/>
    </w:pPr>
    <w:rPr>
      <w:sz w:val="16"/>
      <w:szCs w:val="16"/>
    </w:rPr>
  </w:style>
  <w:style w:type="character" w:customStyle="1" w:styleId="Corpodetexto3Char">
    <w:name w:val="Corpo de texto 3 Char"/>
    <w:basedOn w:val="Fontepargpadro"/>
    <w:link w:val="Corpodetexto3"/>
    <w:rPr>
      <w:rFonts w:ascii="Tahoma" w:hAnsi="Tahoma"/>
      <w:sz w:val="16"/>
      <w:szCs w:val="16"/>
    </w:rPr>
  </w:style>
  <w:style w:type="paragraph" w:customStyle="1" w:styleId="CharCharCharCharCharCharCharCharChar1CharChar">
    <w:name w:val="Char Char Char Char Char Char Char Char Char1 Char Char"/>
    <w:basedOn w:val="Normal"/>
    <w:pPr>
      <w:spacing w:after="160" w:line="240" w:lineRule="exact"/>
    </w:pPr>
    <w:rPr>
      <w:rFonts w:ascii="Verdana" w:eastAsia="MS Mincho" w:hAnsi="Verdana"/>
      <w:sz w:val="20"/>
      <w:lang w:val="en-US" w:eastAsia="en-US"/>
    </w:rPr>
  </w:style>
  <w:style w:type="character" w:styleId="HiperlinkVisitado">
    <w:name w:val="FollowedHyperlink"/>
    <w:rPr>
      <w:color w:val="800080"/>
      <w:u w:val="single"/>
    </w:rPr>
  </w:style>
  <w:style w:type="paragraph" w:customStyle="1" w:styleId="TextocomMarcador">
    <w:name w:val="Texto com Marcador"/>
    <w:basedOn w:val="Normal"/>
    <w:pPr>
      <w:numPr>
        <w:numId w:val="12"/>
      </w:numPr>
      <w:spacing w:before="200" w:after="200"/>
    </w:pPr>
    <w:rPr>
      <w:rFonts w:eastAsia="MS Mincho"/>
      <w:color w:val="000000"/>
      <w:sz w:val="20"/>
    </w:rPr>
  </w:style>
  <w:style w:type="paragraph" w:customStyle="1" w:styleId="Body">
    <w:name w:val="Body"/>
    <w:basedOn w:val="Normal"/>
    <w:link w:val="BodyChar"/>
    <w:pPr>
      <w:spacing w:after="140" w:line="290" w:lineRule="auto"/>
    </w:pPr>
    <w:rPr>
      <w:rFonts w:ascii="Arial" w:hAnsi="Arial"/>
      <w:kern w:val="20"/>
      <w:sz w:val="20"/>
      <w:lang w:eastAsia="en-GB"/>
    </w:rPr>
  </w:style>
  <w:style w:type="paragraph" w:styleId="PargrafodaLista">
    <w:name w:val="List Paragraph"/>
    <w:basedOn w:val="Normal"/>
    <w:uiPriority w:val="34"/>
    <w:qFormat/>
    <w:pPr>
      <w:ind w:left="708"/>
    </w:pPr>
  </w:style>
  <w:style w:type="paragraph" w:customStyle="1" w:styleId="Level1">
    <w:name w:val="Level 1"/>
    <w:basedOn w:val="Normal"/>
    <w:next w:val="Normal"/>
    <w:pPr>
      <w:keepNext/>
      <w:numPr>
        <w:numId w:val="20"/>
      </w:numPr>
      <w:spacing w:before="280" w:after="140" w:line="290" w:lineRule="auto"/>
      <w:outlineLvl w:val="0"/>
    </w:pPr>
    <w:rPr>
      <w:rFonts w:ascii="Arial" w:hAnsi="Arial"/>
      <w:b/>
      <w:bCs/>
      <w:kern w:val="20"/>
      <w:sz w:val="22"/>
      <w:szCs w:val="32"/>
      <w:lang w:eastAsia="en-GB"/>
    </w:rPr>
  </w:style>
  <w:style w:type="paragraph" w:customStyle="1" w:styleId="Level2">
    <w:name w:val="Level 2"/>
    <w:basedOn w:val="Normal"/>
    <w:pPr>
      <w:numPr>
        <w:ilvl w:val="1"/>
        <w:numId w:val="20"/>
      </w:numPr>
      <w:spacing w:after="140" w:line="290" w:lineRule="auto"/>
    </w:pPr>
    <w:rPr>
      <w:rFonts w:ascii="Arial" w:hAnsi="Arial"/>
      <w:kern w:val="20"/>
      <w:sz w:val="20"/>
      <w:szCs w:val="28"/>
      <w:lang w:eastAsia="en-GB"/>
    </w:rPr>
  </w:style>
  <w:style w:type="paragraph" w:customStyle="1" w:styleId="Level3">
    <w:name w:val="Level 3"/>
    <w:basedOn w:val="Normal"/>
    <w:pPr>
      <w:numPr>
        <w:ilvl w:val="2"/>
        <w:numId w:val="20"/>
      </w:numPr>
      <w:spacing w:after="140" w:line="290" w:lineRule="auto"/>
    </w:pPr>
    <w:rPr>
      <w:rFonts w:ascii="Arial" w:hAnsi="Arial"/>
      <w:kern w:val="20"/>
      <w:sz w:val="20"/>
      <w:szCs w:val="28"/>
      <w:lang w:eastAsia="en-GB"/>
    </w:rPr>
  </w:style>
  <w:style w:type="paragraph" w:customStyle="1" w:styleId="Level4">
    <w:name w:val="Level 4"/>
    <w:basedOn w:val="Normal"/>
    <w:pPr>
      <w:numPr>
        <w:ilvl w:val="3"/>
        <w:numId w:val="20"/>
      </w:numPr>
      <w:spacing w:after="140" w:line="290" w:lineRule="auto"/>
    </w:pPr>
    <w:rPr>
      <w:rFonts w:ascii="Arial" w:hAnsi="Arial"/>
      <w:kern w:val="20"/>
      <w:sz w:val="20"/>
      <w:lang w:eastAsia="en-GB"/>
    </w:rPr>
  </w:style>
  <w:style w:type="paragraph" w:customStyle="1" w:styleId="Level5">
    <w:name w:val="Level 5"/>
    <w:basedOn w:val="Normal"/>
    <w:pPr>
      <w:numPr>
        <w:ilvl w:val="4"/>
        <w:numId w:val="20"/>
      </w:numPr>
      <w:spacing w:after="140" w:line="290" w:lineRule="auto"/>
    </w:pPr>
    <w:rPr>
      <w:rFonts w:ascii="Arial" w:hAnsi="Arial"/>
      <w:kern w:val="20"/>
      <w:sz w:val="20"/>
      <w:lang w:eastAsia="en-GB"/>
    </w:rPr>
  </w:style>
  <w:style w:type="paragraph" w:customStyle="1" w:styleId="Level6">
    <w:name w:val="Level 6"/>
    <w:basedOn w:val="Normal"/>
    <w:pPr>
      <w:numPr>
        <w:ilvl w:val="5"/>
        <w:numId w:val="20"/>
      </w:numPr>
      <w:tabs>
        <w:tab w:val="clear" w:pos="3288"/>
        <w:tab w:val="num" w:pos="680"/>
      </w:tabs>
      <w:spacing w:after="140" w:line="290" w:lineRule="auto"/>
      <w:ind w:left="680"/>
    </w:pPr>
    <w:rPr>
      <w:rFonts w:ascii="Arial" w:hAnsi="Arial"/>
      <w:kern w:val="20"/>
      <w:sz w:val="20"/>
      <w:lang w:eastAsia="en-GB"/>
    </w:rPr>
  </w:style>
  <w:style w:type="paragraph" w:customStyle="1" w:styleId="Level7">
    <w:name w:val="Level 7"/>
    <w:basedOn w:val="Normal"/>
    <w:pPr>
      <w:numPr>
        <w:ilvl w:val="6"/>
        <w:numId w:val="20"/>
      </w:numPr>
      <w:spacing w:after="140" w:line="290" w:lineRule="auto"/>
      <w:outlineLvl w:val="6"/>
    </w:pPr>
    <w:rPr>
      <w:rFonts w:ascii="Arial" w:hAnsi="Arial"/>
      <w:kern w:val="20"/>
      <w:sz w:val="20"/>
      <w:lang w:eastAsia="en-GB"/>
    </w:rPr>
  </w:style>
  <w:style w:type="paragraph" w:customStyle="1" w:styleId="Level8">
    <w:name w:val="Level 8"/>
    <w:basedOn w:val="Normal"/>
    <w:pPr>
      <w:numPr>
        <w:ilvl w:val="7"/>
        <w:numId w:val="20"/>
      </w:numPr>
      <w:spacing w:after="140" w:line="290" w:lineRule="auto"/>
      <w:outlineLvl w:val="7"/>
    </w:pPr>
    <w:rPr>
      <w:rFonts w:ascii="Arial" w:hAnsi="Arial"/>
      <w:kern w:val="20"/>
      <w:sz w:val="20"/>
      <w:lang w:eastAsia="en-GB"/>
    </w:rPr>
  </w:style>
  <w:style w:type="paragraph" w:customStyle="1" w:styleId="Level9">
    <w:name w:val="Level 9"/>
    <w:basedOn w:val="Normal"/>
    <w:pPr>
      <w:numPr>
        <w:ilvl w:val="8"/>
        <w:numId w:val="20"/>
      </w:numPr>
      <w:spacing w:after="140" w:line="290" w:lineRule="auto"/>
      <w:outlineLvl w:val="8"/>
    </w:pPr>
    <w:rPr>
      <w:rFonts w:ascii="Arial" w:hAnsi="Arial"/>
      <w:kern w:val="20"/>
      <w:sz w:val="20"/>
      <w:lang w:eastAsia="en-GB"/>
    </w:rPr>
  </w:style>
  <w:style w:type="character" w:customStyle="1" w:styleId="BodyChar">
    <w:name w:val="Body Char"/>
    <w:link w:val="Body"/>
    <w:locked/>
    <w:rPr>
      <w:rFonts w:ascii="Arial" w:hAnsi="Arial"/>
      <w:kern w:val="20"/>
      <w:szCs w:val="24"/>
      <w:lang w:eastAsia="en-GB"/>
    </w:rPr>
  </w:style>
  <w:style w:type="paragraph" w:customStyle="1" w:styleId="CharChar1CharCharCharCharCharCharCharCharCharCharCharCharChar3CharCharChar1Char1CharCharCharCharCharCharCharCharCharCharCharCharCharCharChar">
    <w:name w:val="Char Char1 Char Char Char Char Char Char Char Char Char Char Char Char Char3 Char Char Char1 Char1 Char Char Char Char Char Char Char Char Char Char Char Char Char Char Char"/>
    <w:basedOn w:val="Normal"/>
    <w:pPr>
      <w:spacing w:after="160" w:line="240" w:lineRule="exact"/>
    </w:pPr>
    <w:rPr>
      <w:rFonts w:ascii="Verdana" w:hAnsi="Verdana"/>
      <w:sz w:val="20"/>
      <w:lang w:val="en-US" w:eastAsia="en-US"/>
    </w:rPr>
  </w:style>
  <w:style w:type="character" w:styleId="TextodoEspaoReservado">
    <w:name w:val="Placeholder Text"/>
    <w:basedOn w:val="Fontepargpadro"/>
    <w:uiPriority w:val="99"/>
    <w:semiHidden/>
    <w:rPr>
      <w:color w:val="808080"/>
    </w:rPr>
  </w:style>
  <w:style w:type="character" w:customStyle="1" w:styleId="CabealhoChar">
    <w:name w:val="Cabeçalho Char"/>
    <w:basedOn w:val="Fontepargpadro"/>
    <w:link w:val="Cabealho"/>
    <w:uiPriority w:val="99"/>
    <w:rPr>
      <w:rFonts w:ascii="Verdana" w:hAnsi="Verdana"/>
      <w:sz w:val="22"/>
      <w:szCs w:val="22"/>
    </w:rPr>
  </w:style>
  <w:style w:type="paragraph" w:styleId="Reviso">
    <w:name w:val="Revision"/>
    <w:hidden/>
    <w:uiPriority w:val="99"/>
    <w:semiHidden/>
    <w:rPr>
      <w:rFonts w:ascii="Tahoma" w:hAnsi="Tahoma"/>
      <w:sz w:val="24"/>
    </w:rPr>
  </w:style>
  <w:style w:type="paragraph" w:styleId="Ttulo">
    <w:name w:val="Title"/>
    <w:basedOn w:val="Normal"/>
    <w:next w:val="Body"/>
    <w:link w:val="TtuloChar"/>
    <w:qFormat/>
    <w:pPr>
      <w:keepNext/>
      <w:spacing w:after="240" w:line="290" w:lineRule="auto"/>
      <w:outlineLvl w:val="0"/>
    </w:pPr>
    <w:rPr>
      <w:rFonts w:ascii="Arial" w:hAnsi="Arial" w:cs="Arial"/>
      <w:b/>
      <w:bCs/>
      <w:kern w:val="28"/>
      <w:sz w:val="25"/>
      <w:szCs w:val="32"/>
      <w:lang w:eastAsia="en-GB"/>
    </w:rPr>
  </w:style>
  <w:style w:type="character" w:customStyle="1" w:styleId="TtuloChar">
    <w:name w:val="Título Char"/>
    <w:basedOn w:val="Fontepargpadro"/>
    <w:link w:val="Ttulo"/>
    <w:rPr>
      <w:rFonts w:ascii="Arial" w:hAnsi="Arial" w:cs="Arial"/>
      <w:b/>
      <w:bCs/>
      <w:kern w:val="28"/>
      <w:sz w:val="25"/>
      <w:szCs w:val="32"/>
      <w:lang w:eastAsia="en-GB"/>
    </w:rPr>
  </w:style>
  <w:style w:type="character" w:customStyle="1" w:styleId="Ttulo3Char">
    <w:name w:val="Título 3 Char"/>
    <w:basedOn w:val="Fontepargpadro"/>
    <w:link w:val="Ttulo3"/>
    <w:rPr>
      <w:rFonts w:ascii="Verdana" w:hAnsi="Verdana"/>
      <w:b/>
      <w:sz w:val="22"/>
      <w:szCs w:val="22"/>
    </w:rPr>
  </w:style>
  <w:style w:type="character" w:customStyle="1" w:styleId="DeltaViewInsertion">
    <w:name w:val="DeltaView Insertion"/>
    <w:uiPriority w:val="99"/>
    <w:rPr>
      <w:color w:val="0000FF"/>
      <w:spacing w:val="0"/>
      <w:u w:val="double"/>
    </w:rPr>
  </w:style>
  <w:style w:type="paragraph" w:customStyle="1" w:styleId="DPWfdPF">
    <w:name w:val="DPW fd PF"/>
    <w:aliases w:val="p"/>
    <w:basedOn w:val="Normal"/>
    <w:pPr>
      <w:autoSpaceDE w:val="0"/>
      <w:autoSpaceDN w:val="0"/>
      <w:adjustRightInd w:val="0"/>
      <w:spacing w:after="240"/>
      <w:ind w:firstLine="360"/>
    </w:pPr>
    <w:rPr>
      <w:sz w:val="20"/>
      <w:lang w:val="en-US"/>
    </w:rPr>
  </w:style>
  <w:style w:type="character" w:customStyle="1" w:styleId="DeltaViewDeletion">
    <w:name w:val="DeltaView Deletion"/>
    <w:uiPriority w:val="99"/>
    <w:rPr>
      <w:strike/>
      <w:color w:val="FF0000"/>
      <w:spacing w:val="0"/>
    </w:rPr>
  </w:style>
  <w:style w:type="paragraph" w:customStyle="1" w:styleId="TextoProspecto">
    <w:name w:val="Texto Prospecto"/>
    <w:basedOn w:val="Normal"/>
    <w:autoRedefine/>
    <w:pPr>
      <w:tabs>
        <w:tab w:val="left" w:pos="650"/>
      </w:tabs>
      <w:spacing w:after="160"/>
    </w:pPr>
    <w:rPr>
      <w:rFonts w:ascii="Arial" w:eastAsia="SimSun" w:hAnsi="Arial" w:cs="Arial"/>
      <w:snapToGrid w:val="0"/>
      <w:color w:val="000000"/>
      <w:sz w:val="20"/>
      <w:lang w:val="pt-PT"/>
    </w:rPr>
  </w:style>
  <w:style w:type="paragraph" w:customStyle="1" w:styleId="Estilo3">
    <w:name w:val="Estilo3"/>
    <w:basedOn w:val="Normal"/>
    <w:pPr>
      <w:spacing w:after="200" w:line="300" w:lineRule="atLeast"/>
    </w:pPr>
    <w:rPr>
      <w:rFonts w:eastAsia="MS Mincho" w:cs="Tahoma"/>
      <w:sz w:val="20"/>
      <w:lang w:val="pt-PT"/>
    </w:rPr>
  </w:style>
  <w:style w:type="character" w:styleId="Refdecomentrio">
    <w:name w:val="annotation reference"/>
    <w:basedOn w:val="Fontepargpadro"/>
    <w:rPr>
      <w:sz w:val="16"/>
      <w:szCs w:val="16"/>
    </w:rPr>
  </w:style>
  <w:style w:type="paragraph" w:styleId="Textodecomentrio">
    <w:name w:val="annotation text"/>
    <w:basedOn w:val="Normal"/>
    <w:link w:val="TextodecomentrioChar"/>
    <w:rPr>
      <w:sz w:val="20"/>
    </w:rPr>
  </w:style>
  <w:style w:type="character" w:customStyle="1" w:styleId="TextodecomentrioChar">
    <w:name w:val="Texto de comentário Char"/>
    <w:basedOn w:val="Fontepargpadro"/>
    <w:link w:val="Textodecomentrio"/>
    <w:rPr>
      <w:rFonts w:ascii="Tahoma" w:hAnsi="Tahoma"/>
    </w:rPr>
  </w:style>
  <w:style w:type="paragraph" w:styleId="Assuntodocomentrio">
    <w:name w:val="annotation subject"/>
    <w:basedOn w:val="Textodecomentrio"/>
    <w:next w:val="Textodecomentrio"/>
    <w:link w:val="AssuntodocomentrioChar"/>
    <w:rPr>
      <w:b/>
      <w:bCs/>
    </w:rPr>
  </w:style>
  <w:style w:type="character" w:customStyle="1" w:styleId="AssuntodocomentrioChar">
    <w:name w:val="Assunto do comentário Char"/>
    <w:basedOn w:val="TextodecomentrioChar"/>
    <w:link w:val="Assuntodocomentrio"/>
    <w:rPr>
      <w:rFonts w:ascii="Tahoma" w:hAnsi="Tahoma"/>
      <w:b/>
      <w:bCs/>
    </w:rPr>
  </w:style>
  <w:style w:type="paragraph" w:customStyle="1" w:styleId="Parties">
    <w:name w:val="Parties"/>
    <w:basedOn w:val="Normal"/>
    <w:pPr>
      <w:numPr>
        <w:numId w:val="21"/>
      </w:numPr>
      <w:spacing w:after="140" w:line="290" w:lineRule="auto"/>
    </w:pPr>
    <w:rPr>
      <w:rFonts w:ascii="Arial" w:hAnsi="Arial" w:cs="Arial"/>
      <w:sz w:val="20"/>
    </w:rPr>
  </w:style>
  <w:style w:type="paragraph" w:customStyle="1" w:styleId="Recitals">
    <w:name w:val="Recitals"/>
    <w:basedOn w:val="Normal"/>
    <w:pPr>
      <w:numPr>
        <w:ilvl w:val="1"/>
        <w:numId w:val="21"/>
      </w:numPr>
      <w:spacing w:after="140" w:line="290" w:lineRule="auto"/>
    </w:pPr>
    <w:rPr>
      <w:rFonts w:ascii="Arial" w:hAnsi="Arial" w:cs="Arial"/>
      <w:sz w:val="20"/>
    </w:rPr>
  </w:style>
  <w:style w:type="paragraph" w:customStyle="1" w:styleId="Parties2">
    <w:name w:val="Parties 2"/>
    <w:basedOn w:val="Normal"/>
    <w:pPr>
      <w:numPr>
        <w:ilvl w:val="2"/>
        <w:numId w:val="21"/>
      </w:numPr>
      <w:spacing w:after="140" w:line="290" w:lineRule="auto"/>
    </w:pPr>
    <w:rPr>
      <w:rFonts w:ascii="Arial" w:hAnsi="Arial" w:cs="Arial"/>
      <w:sz w:val="20"/>
    </w:rPr>
  </w:style>
  <w:style w:type="paragraph" w:customStyle="1" w:styleId="Recitals2">
    <w:name w:val="Recitals 2"/>
    <w:basedOn w:val="Normal"/>
    <w:pPr>
      <w:numPr>
        <w:ilvl w:val="3"/>
        <w:numId w:val="21"/>
      </w:numPr>
      <w:spacing w:after="140" w:line="290" w:lineRule="auto"/>
    </w:pPr>
    <w:rPr>
      <w:rFonts w:ascii="Arial" w:hAnsi="Arial" w:cs="Arial"/>
      <w:sz w:val="20"/>
    </w:rPr>
  </w:style>
  <w:style w:type="character" w:customStyle="1" w:styleId="TextodenotaderodapChar">
    <w:name w:val="Texto de nota de rodapé Char"/>
    <w:basedOn w:val="Fontepargpadro"/>
    <w:link w:val="Textodenotaderodap"/>
    <w:uiPriority w:val="99"/>
    <w:semiHidden/>
    <w:rPr>
      <w:rFonts w:ascii="Verdana" w:hAnsi="Verdana"/>
      <w:b/>
      <w:i/>
      <w:sz w:val="16"/>
      <w:szCs w:val="22"/>
      <w:lang w:val="en-US"/>
    </w:rPr>
  </w:style>
  <w:style w:type="table" w:styleId="Tabelacomgrade">
    <w:name w:val="Table Grid"/>
    <w:basedOn w:val="Tabe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2B0752"/>
    <w:rPr>
      <w:color w:val="605E5C"/>
      <w:shd w:val="clear" w:color="auto" w:fill="E1DFDD"/>
    </w:rPr>
  </w:style>
  <w:style w:type="paragraph" w:customStyle="1" w:styleId="HOMEBRBodyText">
    <w:name w:val="HOME BR Body Text"/>
    <w:basedOn w:val="Normal"/>
    <w:link w:val="HOMEBRBodyTextChar1"/>
    <w:rsid w:val="00196465"/>
    <w:pPr>
      <w:keepLines/>
      <w:spacing w:after="200"/>
    </w:pPr>
    <w:rPr>
      <w:rFonts w:ascii="Arial" w:hAnsi="Arial"/>
      <w:sz w:val="20"/>
      <w:lang w:eastAsia="en-US"/>
    </w:rPr>
  </w:style>
  <w:style w:type="character" w:customStyle="1" w:styleId="HOMEBRBodyTextChar1">
    <w:name w:val="HOME BR Body Text Char1"/>
    <w:link w:val="HOMEBRBodyText"/>
    <w:locked/>
    <w:rsid w:val="00196465"/>
    <w:rPr>
      <w:rFonts w:ascii="Arial" w:hAnsi="Arial"/>
      <w:lang w:eastAsia="en-US"/>
    </w:rPr>
  </w:style>
  <w:style w:type="paragraph" w:styleId="Pr-formataoHTML">
    <w:name w:val="HTML Preformatted"/>
    <w:basedOn w:val="Normal"/>
    <w:link w:val="Pr-formataoHTMLChar"/>
    <w:semiHidden/>
    <w:unhideWhenUsed/>
    <w:rsid w:val="009C570D"/>
    <w:rPr>
      <w:rFonts w:ascii="Consolas" w:hAnsi="Consolas"/>
      <w:sz w:val="20"/>
    </w:rPr>
  </w:style>
  <w:style w:type="character" w:customStyle="1" w:styleId="Pr-formataoHTMLChar">
    <w:name w:val="Pré-formatação HTML Char"/>
    <w:basedOn w:val="Fontepargpadro"/>
    <w:link w:val="Pr-formataoHTML"/>
    <w:semiHidden/>
    <w:rsid w:val="009C570D"/>
    <w:rPr>
      <w:rFonts w:ascii="Consolas" w:hAnsi="Consolas"/>
    </w:rPr>
  </w:style>
  <w:style w:type="character" w:customStyle="1" w:styleId="HOMEBRBodyTextChar">
    <w:name w:val="HOME BR Body Text Char"/>
    <w:locked/>
    <w:rsid w:val="002832C2"/>
    <w:rPr>
      <w:rFonts w:ascii="Arial" w:eastAsia="Times New Roman" w:hAnsi="Arial" w:cs="Times New Roman"/>
      <w:sz w:val="20"/>
      <w:szCs w:val="20"/>
    </w:rPr>
  </w:style>
  <w:style w:type="character" w:customStyle="1" w:styleId="ui-provider">
    <w:name w:val="ui-provider"/>
    <w:basedOn w:val="Fontepargpadro"/>
    <w:rsid w:val="00084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5226">
      <w:bodyDiv w:val="1"/>
      <w:marLeft w:val="0"/>
      <w:marRight w:val="0"/>
      <w:marTop w:val="0"/>
      <w:marBottom w:val="0"/>
      <w:divBdr>
        <w:top w:val="none" w:sz="0" w:space="0" w:color="auto"/>
        <w:left w:val="none" w:sz="0" w:space="0" w:color="auto"/>
        <w:bottom w:val="none" w:sz="0" w:space="0" w:color="auto"/>
        <w:right w:val="none" w:sz="0" w:space="0" w:color="auto"/>
      </w:divBdr>
    </w:div>
    <w:div w:id="211776641">
      <w:bodyDiv w:val="1"/>
      <w:marLeft w:val="0"/>
      <w:marRight w:val="0"/>
      <w:marTop w:val="0"/>
      <w:marBottom w:val="0"/>
      <w:divBdr>
        <w:top w:val="none" w:sz="0" w:space="0" w:color="auto"/>
        <w:left w:val="none" w:sz="0" w:space="0" w:color="auto"/>
        <w:bottom w:val="none" w:sz="0" w:space="0" w:color="auto"/>
        <w:right w:val="none" w:sz="0" w:space="0" w:color="auto"/>
      </w:divBdr>
    </w:div>
    <w:div w:id="255552957">
      <w:bodyDiv w:val="1"/>
      <w:marLeft w:val="0"/>
      <w:marRight w:val="0"/>
      <w:marTop w:val="0"/>
      <w:marBottom w:val="0"/>
      <w:divBdr>
        <w:top w:val="none" w:sz="0" w:space="0" w:color="auto"/>
        <w:left w:val="none" w:sz="0" w:space="0" w:color="auto"/>
        <w:bottom w:val="none" w:sz="0" w:space="0" w:color="auto"/>
        <w:right w:val="none" w:sz="0" w:space="0" w:color="auto"/>
      </w:divBdr>
    </w:div>
    <w:div w:id="259068575">
      <w:bodyDiv w:val="1"/>
      <w:marLeft w:val="0"/>
      <w:marRight w:val="0"/>
      <w:marTop w:val="0"/>
      <w:marBottom w:val="0"/>
      <w:divBdr>
        <w:top w:val="none" w:sz="0" w:space="0" w:color="auto"/>
        <w:left w:val="none" w:sz="0" w:space="0" w:color="auto"/>
        <w:bottom w:val="none" w:sz="0" w:space="0" w:color="auto"/>
        <w:right w:val="none" w:sz="0" w:space="0" w:color="auto"/>
      </w:divBdr>
    </w:div>
    <w:div w:id="292711158">
      <w:bodyDiv w:val="1"/>
      <w:marLeft w:val="0"/>
      <w:marRight w:val="0"/>
      <w:marTop w:val="0"/>
      <w:marBottom w:val="0"/>
      <w:divBdr>
        <w:top w:val="none" w:sz="0" w:space="0" w:color="auto"/>
        <w:left w:val="none" w:sz="0" w:space="0" w:color="auto"/>
        <w:bottom w:val="none" w:sz="0" w:space="0" w:color="auto"/>
        <w:right w:val="none" w:sz="0" w:space="0" w:color="auto"/>
      </w:divBdr>
    </w:div>
    <w:div w:id="363599684">
      <w:bodyDiv w:val="1"/>
      <w:marLeft w:val="0"/>
      <w:marRight w:val="0"/>
      <w:marTop w:val="0"/>
      <w:marBottom w:val="0"/>
      <w:divBdr>
        <w:top w:val="none" w:sz="0" w:space="0" w:color="auto"/>
        <w:left w:val="none" w:sz="0" w:space="0" w:color="auto"/>
        <w:bottom w:val="none" w:sz="0" w:space="0" w:color="auto"/>
        <w:right w:val="none" w:sz="0" w:space="0" w:color="auto"/>
      </w:divBdr>
    </w:div>
    <w:div w:id="539902576">
      <w:bodyDiv w:val="1"/>
      <w:marLeft w:val="0"/>
      <w:marRight w:val="0"/>
      <w:marTop w:val="0"/>
      <w:marBottom w:val="0"/>
      <w:divBdr>
        <w:top w:val="none" w:sz="0" w:space="0" w:color="auto"/>
        <w:left w:val="none" w:sz="0" w:space="0" w:color="auto"/>
        <w:bottom w:val="none" w:sz="0" w:space="0" w:color="auto"/>
        <w:right w:val="none" w:sz="0" w:space="0" w:color="auto"/>
      </w:divBdr>
    </w:div>
    <w:div w:id="651979994">
      <w:bodyDiv w:val="1"/>
      <w:marLeft w:val="0"/>
      <w:marRight w:val="0"/>
      <w:marTop w:val="0"/>
      <w:marBottom w:val="0"/>
      <w:divBdr>
        <w:top w:val="none" w:sz="0" w:space="0" w:color="auto"/>
        <w:left w:val="none" w:sz="0" w:space="0" w:color="auto"/>
        <w:bottom w:val="none" w:sz="0" w:space="0" w:color="auto"/>
        <w:right w:val="none" w:sz="0" w:space="0" w:color="auto"/>
      </w:divBdr>
    </w:div>
    <w:div w:id="664942583">
      <w:bodyDiv w:val="1"/>
      <w:marLeft w:val="0"/>
      <w:marRight w:val="0"/>
      <w:marTop w:val="0"/>
      <w:marBottom w:val="0"/>
      <w:divBdr>
        <w:top w:val="none" w:sz="0" w:space="0" w:color="auto"/>
        <w:left w:val="none" w:sz="0" w:space="0" w:color="auto"/>
        <w:bottom w:val="none" w:sz="0" w:space="0" w:color="auto"/>
        <w:right w:val="none" w:sz="0" w:space="0" w:color="auto"/>
      </w:divBdr>
    </w:div>
    <w:div w:id="670915630">
      <w:bodyDiv w:val="1"/>
      <w:marLeft w:val="0"/>
      <w:marRight w:val="0"/>
      <w:marTop w:val="0"/>
      <w:marBottom w:val="0"/>
      <w:divBdr>
        <w:top w:val="none" w:sz="0" w:space="0" w:color="auto"/>
        <w:left w:val="none" w:sz="0" w:space="0" w:color="auto"/>
        <w:bottom w:val="none" w:sz="0" w:space="0" w:color="auto"/>
        <w:right w:val="none" w:sz="0" w:space="0" w:color="auto"/>
      </w:divBdr>
    </w:div>
    <w:div w:id="673915621">
      <w:bodyDiv w:val="1"/>
      <w:marLeft w:val="0"/>
      <w:marRight w:val="0"/>
      <w:marTop w:val="0"/>
      <w:marBottom w:val="0"/>
      <w:divBdr>
        <w:top w:val="none" w:sz="0" w:space="0" w:color="auto"/>
        <w:left w:val="none" w:sz="0" w:space="0" w:color="auto"/>
        <w:bottom w:val="none" w:sz="0" w:space="0" w:color="auto"/>
        <w:right w:val="none" w:sz="0" w:space="0" w:color="auto"/>
      </w:divBdr>
    </w:div>
    <w:div w:id="696467172">
      <w:bodyDiv w:val="1"/>
      <w:marLeft w:val="0"/>
      <w:marRight w:val="0"/>
      <w:marTop w:val="0"/>
      <w:marBottom w:val="0"/>
      <w:divBdr>
        <w:top w:val="none" w:sz="0" w:space="0" w:color="auto"/>
        <w:left w:val="none" w:sz="0" w:space="0" w:color="auto"/>
        <w:bottom w:val="none" w:sz="0" w:space="0" w:color="auto"/>
        <w:right w:val="none" w:sz="0" w:space="0" w:color="auto"/>
      </w:divBdr>
    </w:div>
    <w:div w:id="722024270">
      <w:bodyDiv w:val="1"/>
      <w:marLeft w:val="0"/>
      <w:marRight w:val="0"/>
      <w:marTop w:val="0"/>
      <w:marBottom w:val="0"/>
      <w:divBdr>
        <w:top w:val="none" w:sz="0" w:space="0" w:color="auto"/>
        <w:left w:val="none" w:sz="0" w:space="0" w:color="auto"/>
        <w:bottom w:val="none" w:sz="0" w:space="0" w:color="auto"/>
        <w:right w:val="none" w:sz="0" w:space="0" w:color="auto"/>
      </w:divBdr>
    </w:div>
    <w:div w:id="750204607">
      <w:bodyDiv w:val="1"/>
      <w:marLeft w:val="0"/>
      <w:marRight w:val="0"/>
      <w:marTop w:val="0"/>
      <w:marBottom w:val="0"/>
      <w:divBdr>
        <w:top w:val="none" w:sz="0" w:space="0" w:color="auto"/>
        <w:left w:val="none" w:sz="0" w:space="0" w:color="auto"/>
        <w:bottom w:val="none" w:sz="0" w:space="0" w:color="auto"/>
        <w:right w:val="none" w:sz="0" w:space="0" w:color="auto"/>
      </w:divBdr>
    </w:div>
    <w:div w:id="1006830323">
      <w:bodyDiv w:val="1"/>
      <w:marLeft w:val="0"/>
      <w:marRight w:val="0"/>
      <w:marTop w:val="0"/>
      <w:marBottom w:val="0"/>
      <w:divBdr>
        <w:top w:val="none" w:sz="0" w:space="0" w:color="auto"/>
        <w:left w:val="none" w:sz="0" w:space="0" w:color="auto"/>
        <w:bottom w:val="none" w:sz="0" w:space="0" w:color="auto"/>
        <w:right w:val="none" w:sz="0" w:space="0" w:color="auto"/>
      </w:divBdr>
    </w:div>
    <w:div w:id="1044791598">
      <w:bodyDiv w:val="1"/>
      <w:marLeft w:val="0"/>
      <w:marRight w:val="0"/>
      <w:marTop w:val="0"/>
      <w:marBottom w:val="0"/>
      <w:divBdr>
        <w:top w:val="none" w:sz="0" w:space="0" w:color="auto"/>
        <w:left w:val="none" w:sz="0" w:space="0" w:color="auto"/>
        <w:bottom w:val="none" w:sz="0" w:space="0" w:color="auto"/>
        <w:right w:val="none" w:sz="0" w:space="0" w:color="auto"/>
      </w:divBdr>
    </w:div>
    <w:div w:id="1054086258">
      <w:bodyDiv w:val="1"/>
      <w:marLeft w:val="0"/>
      <w:marRight w:val="0"/>
      <w:marTop w:val="0"/>
      <w:marBottom w:val="0"/>
      <w:divBdr>
        <w:top w:val="none" w:sz="0" w:space="0" w:color="auto"/>
        <w:left w:val="none" w:sz="0" w:space="0" w:color="auto"/>
        <w:bottom w:val="none" w:sz="0" w:space="0" w:color="auto"/>
        <w:right w:val="none" w:sz="0" w:space="0" w:color="auto"/>
      </w:divBdr>
    </w:div>
    <w:div w:id="1080250780">
      <w:bodyDiv w:val="1"/>
      <w:marLeft w:val="0"/>
      <w:marRight w:val="0"/>
      <w:marTop w:val="0"/>
      <w:marBottom w:val="0"/>
      <w:divBdr>
        <w:top w:val="none" w:sz="0" w:space="0" w:color="auto"/>
        <w:left w:val="none" w:sz="0" w:space="0" w:color="auto"/>
        <w:bottom w:val="none" w:sz="0" w:space="0" w:color="auto"/>
        <w:right w:val="none" w:sz="0" w:space="0" w:color="auto"/>
      </w:divBdr>
    </w:div>
    <w:div w:id="1113749190">
      <w:bodyDiv w:val="1"/>
      <w:marLeft w:val="0"/>
      <w:marRight w:val="0"/>
      <w:marTop w:val="0"/>
      <w:marBottom w:val="0"/>
      <w:divBdr>
        <w:top w:val="none" w:sz="0" w:space="0" w:color="auto"/>
        <w:left w:val="none" w:sz="0" w:space="0" w:color="auto"/>
        <w:bottom w:val="none" w:sz="0" w:space="0" w:color="auto"/>
        <w:right w:val="none" w:sz="0" w:space="0" w:color="auto"/>
      </w:divBdr>
    </w:div>
    <w:div w:id="1152866433">
      <w:bodyDiv w:val="1"/>
      <w:marLeft w:val="0"/>
      <w:marRight w:val="0"/>
      <w:marTop w:val="0"/>
      <w:marBottom w:val="0"/>
      <w:divBdr>
        <w:top w:val="none" w:sz="0" w:space="0" w:color="auto"/>
        <w:left w:val="none" w:sz="0" w:space="0" w:color="auto"/>
        <w:bottom w:val="none" w:sz="0" w:space="0" w:color="auto"/>
        <w:right w:val="none" w:sz="0" w:space="0" w:color="auto"/>
      </w:divBdr>
    </w:div>
    <w:div w:id="1300264760">
      <w:bodyDiv w:val="1"/>
      <w:marLeft w:val="0"/>
      <w:marRight w:val="0"/>
      <w:marTop w:val="0"/>
      <w:marBottom w:val="0"/>
      <w:divBdr>
        <w:top w:val="none" w:sz="0" w:space="0" w:color="auto"/>
        <w:left w:val="none" w:sz="0" w:space="0" w:color="auto"/>
        <w:bottom w:val="none" w:sz="0" w:space="0" w:color="auto"/>
        <w:right w:val="none" w:sz="0" w:space="0" w:color="auto"/>
      </w:divBdr>
    </w:div>
    <w:div w:id="1380276375">
      <w:bodyDiv w:val="1"/>
      <w:marLeft w:val="0"/>
      <w:marRight w:val="0"/>
      <w:marTop w:val="0"/>
      <w:marBottom w:val="0"/>
      <w:divBdr>
        <w:top w:val="none" w:sz="0" w:space="0" w:color="auto"/>
        <w:left w:val="none" w:sz="0" w:space="0" w:color="auto"/>
        <w:bottom w:val="none" w:sz="0" w:space="0" w:color="auto"/>
        <w:right w:val="none" w:sz="0" w:space="0" w:color="auto"/>
      </w:divBdr>
    </w:div>
    <w:div w:id="1759905733">
      <w:bodyDiv w:val="1"/>
      <w:marLeft w:val="0"/>
      <w:marRight w:val="0"/>
      <w:marTop w:val="0"/>
      <w:marBottom w:val="0"/>
      <w:divBdr>
        <w:top w:val="none" w:sz="0" w:space="0" w:color="auto"/>
        <w:left w:val="none" w:sz="0" w:space="0" w:color="auto"/>
        <w:bottom w:val="none" w:sz="0" w:space="0" w:color="auto"/>
        <w:right w:val="none" w:sz="0" w:space="0" w:color="auto"/>
      </w:divBdr>
    </w:div>
    <w:div w:id="1839227119">
      <w:bodyDiv w:val="1"/>
      <w:marLeft w:val="0"/>
      <w:marRight w:val="0"/>
      <w:marTop w:val="0"/>
      <w:marBottom w:val="0"/>
      <w:divBdr>
        <w:top w:val="none" w:sz="0" w:space="0" w:color="auto"/>
        <w:left w:val="none" w:sz="0" w:space="0" w:color="auto"/>
        <w:bottom w:val="none" w:sz="0" w:space="0" w:color="auto"/>
        <w:right w:val="none" w:sz="0" w:space="0" w:color="auto"/>
      </w:divBdr>
    </w:div>
    <w:div w:id="1954363014">
      <w:bodyDiv w:val="1"/>
      <w:marLeft w:val="0"/>
      <w:marRight w:val="0"/>
      <w:marTop w:val="0"/>
      <w:marBottom w:val="0"/>
      <w:divBdr>
        <w:top w:val="none" w:sz="0" w:space="0" w:color="auto"/>
        <w:left w:val="none" w:sz="0" w:space="0" w:color="auto"/>
        <w:bottom w:val="none" w:sz="0" w:space="0" w:color="auto"/>
        <w:right w:val="none" w:sz="0" w:space="0" w:color="auto"/>
      </w:divBdr>
    </w:div>
    <w:div w:id="212738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yperlink" Target="javascript:__doPostBack('dlCiasCdCVM$_ctl1$Linkbutton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4EFE4854-8CCA-4DA3-B9F2-D7143EFEB31A}"/>
      </w:docPartPr>
      <w:docPartBody>
        <w:p w:rsidR="00B44112" w:rsidRDefault="00C721DD">
          <w:r w:rsidRPr="00276062">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1DD"/>
    <w:rsid w:val="001A48FC"/>
    <w:rsid w:val="00B44112"/>
    <w:rsid w:val="00C721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721D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0708AAB-51B9-4239-8792-3B41BBF38E2E}">
  <we:reference id="WA200007271" version="1.0.0.3" store="Omex" storeType="OMEX"/>
  <we:alternateReferences>
    <we:reference id="WA200007271" version="1.0.0.3" store="WA20000727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1 6 " ? > < p r o p e r t i e s   x m l n s = " h t t p : / / w w w . i m a n a g e . c o m / w o r k / x m l s c h e m a " >  
     < d o c u m e n t i d > S P ! 4 3 9 9 2 7 1 4 . 1 < / d o c u m e n t i d >  
     < s e n d e r i d > G R A B E L O < / s e n d e r i d >  
     < s e n d e r e m a i l > G A B R I E L A . R A B E L O @ M A T T O S F I L H O . C O M . B R < / s e n d e r e m a i l >  
     < l a s t m o d i f i e d > 2 0 2 3 - 0 4 - 0 2 T 1 9 : 5 3 : 0 0 . 0 0 0 0 0 0 0 - 0 3 : 0 0 < / l a s t m o d i f i e d >  
     < d a t a b a s e > S P < / d a t a b a s e >  
 < / p r o p e r t i e s > 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ct:contentTypeSchema xmlns:ct="http://schemas.microsoft.com/office/2006/metadata/contentType" xmlns:ma="http://schemas.microsoft.com/office/2006/metadata/properties/metaAttributes" ct:_="" ma:_="" ma:contentTypeName="Documento" ma:contentTypeID="0x01010002316287F114104FB05C975809A4BDF2" ma:contentTypeVersion="13" ma:contentTypeDescription="Criar um novo documento." ma:contentTypeScope="" ma:versionID="1787c1cfd2df98dc2d3f0a4e9ee31ca6">
  <xsd:schema xmlns:xsd="http://www.w3.org/2001/XMLSchema" xmlns:xs="http://www.w3.org/2001/XMLSchema" xmlns:p="http://schemas.microsoft.com/office/2006/metadata/properties" xmlns:ns1="http://schemas.microsoft.com/sharepoint/v3" xmlns:ns2="abd91a91-105f-4dcb-8331-fff521a035b8" xmlns:ns3="89176a10-d6b4-45ab-b516-f822e759e923" targetNamespace="http://schemas.microsoft.com/office/2006/metadata/properties" ma:root="true" ma:fieldsID="dec0322d00f448d50d073cfa7b71dff6" ns1:_="" ns2:_="" ns3:_="">
    <xsd:import namespace="http://schemas.microsoft.com/sharepoint/v3"/>
    <xsd:import namespace="abd91a91-105f-4dcb-8331-fff521a035b8"/>
    <xsd:import namespace="89176a10-d6b4-45ab-b516-f822e759e9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Propriedades da Política de Conformidade Unificada" ma:hidden="true" ma:internalName="_ip_UnifiedCompliancePolicyProperties">
      <xsd:simpleType>
        <xsd:restriction base="dms:Note"/>
      </xsd:simpleType>
    </xsd:element>
    <xsd:element name="_ip_UnifiedCompliancePolicyUIAction" ma:index="18" nillable="true" ma:displayName="Ação de IU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91a91-105f-4dcb-8331-fff521a03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176a10-d6b4-45ab-b516-f822e759e923" elementFormDefault="qualified">
    <xsd:import namespace="http://schemas.microsoft.com/office/2006/documentManagement/types"/>
    <xsd:import namespace="http://schemas.microsoft.com/office/infopath/2007/PartnerControls"/>
    <xsd:element name="SharedWithUsers" ma:index="19"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2.xml><?xml version="1.0" encoding="utf-8"?>
<properties xmlns="http://www.imanage.com/work/xmlschema">
  <documentid>SFPFC!4054567.9</documentid>
  <senderid>ACHAVES</senderid>
  <senderemail>ACHAVES@STOCCHEFORBES.COM.BR</senderemail>
  <lastmodified>2023-07-24T12:24:00.0000000-03:00</lastmodified>
  <database>SFPFC</database>
</properties>
</file>

<file path=customXml/item2.xml>��< ? x m l   v e r s i o n = " 1 . 0 "   e n c o d i n g = " u t f - 1 6 " ? > < p r o p e r t i e s   x m l n s = " h t t p : / / w w w . i m a n a g e . c o m / w o r k / x m l s c h e m a " >  
     < d o c u m e n t i d > S F P F C ! 4 0 1 1 9 7 8 . 8 < / d o c u m e n t i d >  
     < s e n d e r i d > L M A M E D E S < / s e n d e r i d >  
     < s e n d e r e m a i l / >  
     < l a s t m o d i f i e d > 2 0 2 3 - 0 4 - 0 3 T 1 4 : 5 9 : 0 0 . 0 0 0 0 0 0 0 - 0 3 : 0 0 < / l a s t m o d i f i e d >  
     < d a t a b a s e > S F P F C < / d a t a b a s e >  
 < / p r o p e r t i 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properties xmlns="http://www.imanage.com/work/xmlschema">
  <documentid>SFPFC!5024378.14</documentid>
  <senderid>VBALMAS</senderid>
  <senderemail>VBALMAS@STOCCHEFORBES.COM.BR</senderemail>
  <lastmodified>2025-04-13T19:25:00.0000000-03:00</lastmodified>
  <database>SFPFC</database>
</properties>
</file>

<file path=customXml/item5.xml><?xml version="1.0" encoding="utf-8"?>
<properties xmlns="http://www.imanage.com/work/xmlschema">
  <documentid>JUR_SP!56663175.2</documentid>
  <senderid>GKP</senderid>
  <senderemail>GPEREIRA@PN.COM.BR</senderemail>
  <lastmodified>2025-12-19T19:56:00.0000000-03:00</lastmodified>
  <database>JUR_SP</database>
</properties>
</file>

<file path=customXml/item6.xml><?xml version="1.0" encoding="utf-8"?>
<properties xmlns="http://www.imanage.com/work/xmlschema">
  <documentid>JUR_SP!56896013.2</documentid>
  <senderid>PMC</senderid>
  <senderemail>PMCARVALHO@PN.COM.BR</senderemail>
  <lastmodified>2026-02-01T23:28:00.0000000-03:00</lastmodified>
  <database>JUR_SP</database>
</properties>
</file>

<file path=customXml/item7.xml>��< ? x m l   v e r s i o n = " 1 . 0 "   e n c o d i n g = " u t f - 1 6 " ? > < p r o p e r t i e s   x m l n s = " h t t p : / / w w w . i m a n a g e . c o m / w o r k / x m l s c h e m a " >  
     < d o c u m e n t i d > S F P F C ! 4 0 5 4 5 6 7 . 2 < / d o c u m e n t i d >  
     < s e n d e r i d > L M A M E D E S < / s e n d e r i d >  
     < s e n d e r e m a i l / >  
     < l a s t m o d i f i e d > 2 0 2 3 - 0 7 - 0 6 T 1 4 : 4 4 : 0 0 . 0 0 0 0 0 0 0 - 0 3 : 0 0 < / l a s t m o d i f i e d >  
     < d a t a b a s e > S F P F C < / d a t a b a s e >  
 < / 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1 6 " ? > < p r o p e r t i e s   x m l n s = " h t t p : / / w w w . i m a n a g e . c o m / w o r k / x m l s c h e m a " >  
     < d o c u m e n t i d > S P ! 4 3 9 8 9 5 3 8 . 1 < / d o c u m e n t i d >  
     < s e n d e r i d > G R A B E L O < / s e n d e r i d >  
     < s e n d e r e m a i l > G A B R I E L A . R A B E L O @ M A T T O S F I L H O . C O M . B R < / s e n d e r e m a i l >  
     < l a s t m o d i f i e d > 2 0 2 3 - 0 3 - 3 1 T 1 6 : 0 1 : 0 0 . 0 0 0 0 0 0 0 - 0 3 : 0 0 < / l a s t m o d i f i e d >  
     < d a t a b a s e > S P < / d a t a b a s e >  
 < / p r o p e r t i e s > 
</file>

<file path=customXml/itemProps1.xml><?xml version="1.0" encoding="utf-8"?>
<ds:datastoreItem xmlns:ds="http://schemas.openxmlformats.org/officeDocument/2006/customXml" ds:itemID="{129F7279-3D35-4FB1-A9A3-F28B5AE5F096}">
  <ds:schemaRefs>
    <ds:schemaRef ds:uri="http://www.imanage.com/work/xmlschema"/>
  </ds:schemaRefs>
</ds:datastoreItem>
</file>

<file path=customXml/itemProps10.xml><?xml version="1.0" encoding="utf-8"?>
<ds:datastoreItem xmlns:ds="http://schemas.openxmlformats.org/officeDocument/2006/customXml" ds:itemID="{2921BDC5-CEF7-47ED-9B02-D2778627A01E}">
  <ds:schemaRefs>
    <ds:schemaRef ds:uri="http://schemas.microsoft.com/sharepoint/v3/contenttype/forms"/>
  </ds:schemaRefs>
</ds:datastoreItem>
</file>

<file path=customXml/itemProps11.xml><?xml version="1.0" encoding="utf-8"?>
<ds:datastoreItem xmlns:ds="http://schemas.openxmlformats.org/officeDocument/2006/customXml" ds:itemID="{1CBD9076-2C44-4E62-8FD4-CE706C8A5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d91a91-105f-4dcb-8331-fff521a035b8"/>
    <ds:schemaRef ds:uri="89176a10-d6b4-45ab-b516-f822e759e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2.xml><?xml version="1.0" encoding="utf-8"?>
<ds:datastoreItem xmlns:ds="http://schemas.openxmlformats.org/officeDocument/2006/customXml" ds:itemID="{4F03CF94-20BA-4535-AA5C-805922275B1F}">
  <ds:schemaRefs>
    <ds:schemaRef ds:uri="http://www.imanage.com/work/xmlschema"/>
  </ds:schemaRefs>
</ds:datastoreItem>
</file>

<file path=customXml/itemProps2.xml><?xml version="1.0" encoding="utf-8"?>
<ds:datastoreItem xmlns:ds="http://schemas.openxmlformats.org/officeDocument/2006/customXml" ds:itemID="{BCADAD0E-8425-4A95-9172-AB8D6E11D2D8}">
  <ds:schemaRefs>
    <ds:schemaRef ds:uri="http://www.imanage.com/work/xmlschema"/>
  </ds:schemaRefs>
</ds:datastoreItem>
</file>

<file path=customXml/itemProps3.xml><?xml version="1.0" encoding="utf-8"?>
<ds:datastoreItem xmlns:ds="http://schemas.openxmlformats.org/officeDocument/2006/customXml" ds:itemID="{25DA405E-3FDD-4C6F-AFD7-7CA1A9C0910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D24F649-B647-4036-B4F0-4F63609FE7D2}">
  <ds:schemaRefs>
    <ds:schemaRef ds:uri="http://www.imanage.com/work/xmlschema"/>
  </ds:schemaRefs>
</ds:datastoreItem>
</file>

<file path=customXml/itemProps5.xml><?xml version="1.0" encoding="utf-8"?>
<ds:datastoreItem xmlns:ds="http://schemas.openxmlformats.org/officeDocument/2006/customXml" ds:itemID="{53A3830A-DF49-480A-955E-C2C11CF94460}">
  <ds:schemaRefs>
    <ds:schemaRef ds:uri="http://www.imanage.com/work/xmlschema"/>
  </ds:schemaRefs>
</ds:datastoreItem>
</file>

<file path=customXml/itemProps6.xml><?xml version="1.0" encoding="utf-8"?>
<ds:datastoreItem xmlns:ds="http://schemas.openxmlformats.org/officeDocument/2006/customXml" ds:itemID="{449281EB-E207-41AA-8D54-CC4589FA4505}">
  <ds:schemaRefs>
    <ds:schemaRef ds:uri="http://www.imanage.com/work/xmlschema"/>
  </ds:schemaRefs>
</ds:datastoreItem>
</file>

<file path=customXml/itemProps7.xml><?xml version="1.0" encoding="utf-8"?>
<ds:datastoreItem xmlns:ds="http://schemas.openxmlformats.org/officeDocument/2006/customXml" ds:itemID="{A907888A-C534-4237-8D56-D20E77082E1E}">
  <ds:schemaRefs>
    <ds:schemaRef ds:uri="http://www.imanage.com/work/xmlschema"/>
  </ds:schemaRefs>
</ds:datastoreItem>
</file>

<file path=customXml/itemProps8.xml><?xml version="1.0" encoding="utf-8"?>
<ds:datastoreItem xmlns:ds="http://schemas.openxmlformats.org/officeDocument/2006/customXml" ds:itemID="{298EA71A-EB59-4C99-89E5-0FCB8E68AFB9}">
  <ds:schemaRefs>
    <ds:schemaRef ds:uri="http://schemas.openxmlformats.org/officeDocument/2006/bibliography"/>
  </ds:schemaRefs>
</ds:datastoreItem>
</file>

<file path=customXml/itemProps9.xml><?xml version="1.0" encoding="utf-8"?>
<ds:datastoreItem xmlns:ds="http://schemas.openxmlformats.org/officeDocument/2006/customXml" ds:itemID="{96310B8E-A898-40FD-A696-4AEB093759EB}">
  <ds:schemaRefs>
    <ds:schemaRef ds:uri="http://www.imanage.com/work/xmlschema"/>
  </ds:schemaRefs>
</ds:datastoreItem>
</file>

<file path=docMetadata/LabelInfo.xml><?xml version="1.0" encoding="utf-8"?>
<clbl:labelList xmlns:clbl="http://schemas.microsoft.com/office/2020/mipLabelMetadata">
  <clbl:label id="{4aeda764-ac5d-4c78-8b24-fe1405747852}" enabled="1" method="Standard" siteId="{f9cfd8cb-c4a5-4677-b65d-3150dda310c9}" contentBits="2" removed="0"/>
  <clbl:label id="{bf63df5a-c6cb-4032-936b-ad25a04dd3dd}" enabled="1" method="Standard" siteId="{ea803e51-b7dd-4b01-9f98-6ad769db2115}"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22</Pages>
  <Words>11670</Words>
  <Characters>62321</Characters>
  <Application>Microsoft Office Word</Application>
  <DocSecurity>0</DocSecurity>
  <Lines>1888</Lines>
  <Paragraphs>408</Paragraphs>
  <ScaleCrop>false</ScaleCrop>
  <HeadingPairs>
    <vt:vector size="2" baseType="variant">
      <vt:variant>
        <vt:lpstr>Título</vt:lpstr>
      </vt:variant>
      <vt:variant>
        <vt:i4>1</vt:i4>
      </vt:variant>
    </vt:vector>
  </HeadingPairs>
  <TitlesOfParts>
    <vt:vector size="1" baseType="lpstr">
      <vt:lpstr/>
    </vt:vector>
  </TitlesOfParts>
  <Company>Korn Traduções</Company>
  <LinksUpToDate>false</LinksUpToDate>
  <CharactersWithSpaces>73583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Pinheiro Neto Advogados</dc:creator>
  <cp:keywords/>
  <dc:description/>
  <cp:lastModifiedBy>TozziniFreire Advogados</cp:lastModifiedBy>
  <cp:revision>2</cp:revision>
  <cp:lastPrinted>2023-04-03T00:38:00Z</cp:lastPrinted>
  <dcterms:created xsi:type="dcterms:W3CDTF">2026-02-09T17:24:00Z</dcterms:created>
  <dcterms:modified xsi:type="dcterms:W3CDTF">2026-02-09T17:24:00Z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0x01010002316287F114104FB05C975809A4BDF2</vt:lpwstr>
  </property>
  <property fmtid="{D5CDD505-2E9C-101B-9397-08002B2CF9AE}" pid="3" name="MSIP_Label_4fc996bf-6aee-415c-aa4c-e35ad0009c67_Enabled">
    <vt:lpwstr>true</vt:lpwstr>
  </property>
  <property fmtid="{D5CDD505-2E9C-101B-9397-08002B2CF9AE}" pid="4" name="MSIP_Label_4fc996bf-6aee-415c-aa4c-e35ad0009c67_SetDate">
    <vt:lpwstr>2021-11-10T17:35:03Z</vt:lpwstr>
  </property>
  <property fmtid="{D5CDD505-2E9C-101B-9397-08002B2CF9AE}" pid="5" name="MSIP_Label_4fc996bf-6aee-415c-aa4c-e35ad0009c67_Method">
    <vt:lpwstr>Standard</vt:lpwstr>
  </property>
  <property fmtid="{D5CDD505-2E9C-101B-9397-08002B2CF9AE}" pid="6" name="MSIP_Label_4fc996bf-6aee-415c-aa4c-e35ad0009c67_Name">
    <vt:lpwstr>Compartilhamento Interno</vt:lpwstr>
  </property>
  <property fmtid="{D5CDD505-2E9C-101B-9397-08002B2CF9AE}" pid="7" name="MSIP_Label_4fc996bf-6aee-415c-aa4c-e35ad0009c67_SiteId">
    <vt:lpwstr>591669a0-183f-49a5-98f4-9aa0d0b63d81</vt:lpwstr>
  </property>
  <property fmtid="{D5CDD505-2E9C-101B-9397-08002B2CF9AE}" pid="8" name="MSIP_Label_4fc996bf-6aee-415c-aa4c-e35ad0009c67_ActionId">
    <vt:lpwstr>12e02161-1030-48f6-8d01-2fd40ddf0aa8</vt:lpwstr>
  </property>
  <property fmtid="{D5CDD505-2E9C-101B-9397-08002B2CF9AE}" pid="9" name="MSIP_Label_4fc996bf-6aee-415c-aa4c-e35ad0009c67_ContentBits">
    <vt:lpwstr>2</vt:lpwstr>
  </property>
  <property fmtid="{D5CDD505-2E9C-101B-9397-08002B2CF9AE}" pid="10" name="eDOCS AutoSave">
    <vt:lpwstr>20260209132317304</vt:lpwstr>
  </property>
  <property fmtid="{D5CDD505-2E9C-101B-9397-08002B2CF9AE}" pid="11" name="hydoc41373810dd4e65cc">
    <vt:lpwstr>019c1123-58c6-71fa-87c7-47558dd3d82e</vt:lpwstr>
  </property>
  <property fmtid="{D5CDD505-2E9C-101B-9397-08002B2CF9AE}" pid="12" name="iManageFooter">
    <vt:lpwstr>JUR_SP - 56896013v2 - 6666004.554877</vt:lpwstr>
  </property>
  <property fmtid="{D5CDD505-2E9C-101B-9397-08002B2CF9AE}" pid="13" name="ClassificationContentMarkingFooterShapeIds">
    <vt:lpwstr>56ece0ee,7fe6884f,1932a1ce</vt:lpwstr>
  </property>
  <property fmtid="{D5CDD505-2E9C-101B-9397-08002B2CF9AE}" pid="14" name="ClassificationContentMarkingFooterFontProps">
    <vt:lpwstr>#000000,10,Aptos</vt:lpwstr>
  </property>
  <property fmtid="{D5CDD505-2E9C-101B-9397-08002B2CF9AE}" pid="15" name="ClassificationContentMarkingFooterText">
    <vt:lpwstr>INFORMAÇÃO INTERNA – INTERNAL INFORMATION</vt:lpwstr>
  </property>
</Properties>
</file>