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ÚNICO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B3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</w:pPr>
            <w:bookmarkStart w:id="0" w:name="_Hlk530149893"/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SINGLE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t>SERVICES</w:t>
            </w:r>
            <w:bookmarkEnd w:id="0"/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(“Contrato”)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celebrado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Single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(“Agreement”)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between: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2F6935" w:rsidP="008B45E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razaosocial"/>
                  <w:enabled/>
                  <w:calcOnExit w:val="0"/>
                  <w:textInput>
                    <w:default w:val="(RAZÃO SOCIAL DA CONTRATANTE / CORPORATE NAME OF PRINCIPAL)"/>
                    <w:format w:val="Maiúsculas"/>
                  </w:textInput>
                </w:ffData>
              </w:fldChar>
            </w:r>
            <w:bookmarkStart w:id="1" w:name="razaosocial"/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bookmarkStart w:id="2" w:name="_GoBack"/>
            <w:r w:rsidR="008B45E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(RAZÃO SOCIAL DA CONTRATANTE / CORPORATE NAME OF PRINCIPAL)</w:t>
            </w:r>
            <w:bookmarkEnd w:id="2"/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sede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end"/>
                  <w:enabled/>
                  <w:calcOnExit w:val="0"/>
                  <w:textInput>
                    <w:default w:val="[ENDEREÇO COMPLETO (RUA/AVENIDA, NÚMERO, ANDAR) / FULL ADDRESS (NUMBER, FLOOR)]"/>
                    <w:format w:val="Maiúsculas"/>
                  </w:textInput>
                </w:ffData>
              </w:fldChar>
            </w:r>
            <w:bookmarkStart w:id="3" w:name="end"/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[ENDEREÇO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COMPLETO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(RUA/AVENIDA,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NÚMERO,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ANDAR)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/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FULL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ADDRESS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(NUMBER,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FLOOR)]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3"/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Município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cidade"/>
                  <w:enabled/>
                  <w:calcOnExit w:val="0"/>
                  <w:textInput>
                    <w:default w:val="CIDADE/CITY"/>
                    <w:format w:val="Maiúsculas"/>
                  </w:textInput>
                </w:ffData>
              </w:fldChar>
            </w:r>
            <w:bookmarkStart w:id="4" w:name="cidade"/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CIDADE/CITY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4"/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Estado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estado"/>
                  <w:enabled/>
                  <w:calcOnExit w:val="0"/>
                  <w:textInput>
                    <w:default w:val="ESTADO/STATE"/>
                    <w:format w:val="Maiúsculas"/>
                  </w:textInput>
                </w:ffData>
              </w:fldChar>
            </w:r>
            <w:bookmarkStart w:id="5" w:name="estado"/>
            <w:r w:rsid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</w:r>
            <w:r w:rsid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ESTADO/STATE</w:t>
            </w:r>
            <w:r w:rsid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5"/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inscrita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CNPJ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sob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nº.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cnpj"/>
                  <w:enabled/>
                  <w:calcOnExit w:val="0"/>
                  <w:textInput>
                    <w:default w:val="número CNPJ/number of National Corporate Taxpayers Register"/>
                  </w:textInput>
                </w:ffData>
              </w:fldChar>
            </w:r>
            <w:bookmarkStart w:id="6" w:name="cnpj"/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número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CNPJ/number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of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National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Corporate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Taxpayers</w:t>
            </w:r>
            <w:r w:rsidR="00565B4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Register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6"/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ato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representada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600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Estatuto/Contrato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Social,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doravante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denominada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CONTRATANTE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;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</w:t>
            </w:r>
          </w:p>
        </w:tc>
        <w:bookmarkStart w:id="7" w:name="Texto8"/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2F6935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instrText xml:space="preserve"> REF  razaosocial \* Upper </w:instrTex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 w:eastAsia="pt-BR"/>
              </w:rPr>
              <w:t>(RAZÃO SOCIAL DA CONTRATANTE / CORPORATE NAME OF PRINCIPAL)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fldChar w:fldCharType="end"/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place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business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end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 w:eastAsia="pt-BR"/>
              </w:rPr>
              <w:t>[ENDEREÇO COMPLETO (RUA/AVENIDA, NÚMERO, ANDAR) / FULL ADDRESS (NUMBER, FLOOR)]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cidade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 w:eastAsia="pt-BR"/>
              </w:rPr>
              <w:t>CIDADE/CITY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estado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 w:eastAsia="pt-BR"/>
              </w:rPr>
              <w:t>ESTADO/STATE</w:t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enrolled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Corporate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Taxpayers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Register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(CNPJ)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cnpj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 w:eastAsia="pt-BR"/>
              </w:rPr>
              <w:t>número CNPJ/number of National Corporate Taxpayers Register</w:t>
            </w:r>
            <w:r w:rsidR="004A78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C600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By-Laws/Articles of Association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hereinafter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“</w:t>
            </w:r>
            <w:r w:rsidR="008A2E34"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PRINCIPAL”;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A2E34"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bookmarkEnd w:id="7"/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S.A.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BRASIL,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BOLSA,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BALCÃO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anônima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7º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inscrita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CNPJ/MF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09.346.601/0001-25,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representada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Estatuto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doravante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denominada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B3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S.A.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-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BRASIL,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BOLSA,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BALCÃO,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joint-stock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place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business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Capital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Paulo,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Praça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Antonio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48,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7th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floor,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enrolled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Corporate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Taxpayers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Register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Ministry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(CNPJ/MF)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09.346.601/0001-25,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By-Laws,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hereinafter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"B3".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denominadas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conjunto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“Partes”,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individualmente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indistintamente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“Parte”.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understood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collectively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"Parties"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individually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indistinctly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"Party".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WHEREAS: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possui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diferentes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através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destinados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Pós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different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designed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Pre-Trading,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Post-Trading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markets;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interesse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concedidos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após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perfil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wishes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granted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signature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PRINCIPAL’s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relationship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profile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vinculando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disposições.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integral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binding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Têm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acertado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seguintes: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NOW,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THEREFORE,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governed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following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clauses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conditions: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DEFINIÇÕES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I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–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DEFINITIONS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“Administradora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Rede”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empresa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devidamente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Telecomunicações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(“ANATEL”)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apresenta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requisitos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exigidos,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Conectividade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Administrator"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duly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authorized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Brazilian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Telecommunications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Agency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("ANATEL"),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meets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minimum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requirements,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Connectivity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B3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softwares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(computadores,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equipamentos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segurança,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cabeamento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propriedade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licenciados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Incluem-se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definição,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softwares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sucedam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substituam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atuais.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Infrastructure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(software)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hardware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(computers,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cabling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owned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licensed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definition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software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hardware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succeed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substitute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current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CONTRATANTE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softwares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(computadores,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equipamentos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segurança,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cabeamento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propriedade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propiciam,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conjuntamente,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necessárias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PRINCIPAL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(software),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Lines,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hardware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(computers,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cabling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owned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jointly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Comunicação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significa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transmissão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intermédio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Lines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physical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transmission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Administrator’s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Mercados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B3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Markets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markets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“Modo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Acesso”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descritas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necessárias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Access"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described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necessary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B3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referem-se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Regulamentos,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Ofícios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Circulares,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políticas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comerciais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permanência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relativas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B3).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Rules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Circular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Letters,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published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commercial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policies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minimum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permanence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acquisition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Services).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pt-BR"/>
              </w:rPr>
              <w:t>Representantes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pt-BR"/>
              </w:rPr>
              <w:t>B3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significam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funcionários,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associados,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pessoal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registrado,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conselheiros,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lastRenderedPageBreak/>
              <w:t>diretores,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prepostos,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subsidiárias,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afiliadas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pessoas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entidades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atuem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Representatives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employees,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members,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personnel,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directors,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officers,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subsidiaries,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affiliates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persons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Representantes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CONTRATANTE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significam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funcionários,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pessoal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registrado,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conselheiros,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prepostos,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subsidiárias,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afiliadas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pessoas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Representatives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PRINCIPAL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employees,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members,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personnel,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directors,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officers,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subsidiaries,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affiliates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persons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Conectividade”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significam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incluem,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permitem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conexão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"Connectivity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Services"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allow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B3”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referem-se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Participantes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Pós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Services"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Participants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conduction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Pre-Trading,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Post-Trading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markets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Específico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eletrônico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System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electronic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acquisition,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ativação/alteração/desativação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B3”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Serviços”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trata-se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formulário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constitui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eletrônico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definido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"Request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activation/change/deactivation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Services"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Order"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inclusion,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change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integral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physical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electronic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defined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Suporte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Técnico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investigação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sistemática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problemas,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seriam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resolvidos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conhecimentos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ferramentas.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Support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systematic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investigation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problems,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would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resolved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knowledge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tools.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“Tabela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B3”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periodicidade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cobranças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aplicadas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reajustes,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além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permanência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relativas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"B3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pt-BR"/>
              </w:rPr>
              <w:t>List"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published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frequency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collections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adjustment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addition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minimum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permanence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acquisition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CONDIÇÕES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II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-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TERMS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CONDITIONS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caráter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personalíssimo,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pagamento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remuneração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Object.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non-exclusive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strictly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personal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basis,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able,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payment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remuneration,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escolherá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possibilitarão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choose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remittance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reconhece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dependem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conectividade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critério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acknowledges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availability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quality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connectivity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discretion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1.2.1.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especificações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sujeitos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decorrentes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atualizações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1.2.1.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supplemented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published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changes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updates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pursuant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reconhece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concorda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fruição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vez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concedido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respeitarão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mencionados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1.2.1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acknowledges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authorization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requested,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understood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enjoyment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grant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observe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mentioned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1.2.1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B3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Conditions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Infrastructure.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complexidade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informação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diferentes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características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diferenciados,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conforme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ressalvado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Considering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complexity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management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each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choose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different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differentiated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characteristics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except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otherwise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financeiramente: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2.2.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financially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Lines,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Conectividade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Connectivity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nível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(“SLA”)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firmado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("SLA")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equipamentos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configuração,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gerenciamento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contratados;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installation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configuration,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management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suporte,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problemas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conectividade.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support,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connectivity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problems.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B3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Conditions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Services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3.1.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está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ciente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concorda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equipamento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atenda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diretrizes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especificações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técnicas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vigentes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disponibilizadas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cada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contratados.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3.1.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must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meets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guidelines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each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3.2.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conectará,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expensas,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equipamentos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necessários,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ainda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3.2.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install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expenses,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thereof.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Suporte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Suporte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diferentes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Support.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type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Support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different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Suporte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suporte,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configuração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determinados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incluindo,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definidos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celebração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4.1.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support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installation,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support,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configuration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certain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defined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Declarações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CONTRATANTE.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estabelecidas,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decorrência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instrumento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posteriores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aditamentos,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ressalvado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comprometendo-se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observar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Representations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PRINCIPAL.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subsequent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amendments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except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otherwise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observe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5.1.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supervisionar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monitorar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fluxo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tomar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providências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necessárias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preparada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desempenho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realizadas.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5.1.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supervise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monitor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flow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carried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measures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prepared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carried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therein.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5.2.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coibir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indevido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criminoso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responsabilizando-se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prejuízos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sofridos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própria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causados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negligência,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imprudência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imperícia,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terminais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5.2.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restrain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misuse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criminal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itself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negligence,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recklessness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malpractice,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connected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aceitará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lançamentos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efetuados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processamento,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autenticados,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certificados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digital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eletronicamente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possuam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identificação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relatórios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registros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existentes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5.3.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accept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entries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processing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authenticated,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digitally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electronically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certificated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identification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passwords,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reports,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records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existing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Responsabilidade.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monitoramento,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respectivas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envidando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regular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funcionamento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desempenhar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cuidado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conhecimento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Liability.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fully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monitoring,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management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operation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knowledge.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concordam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isenções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aplicam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oriundos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conduta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dolosa.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exemptions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originating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intentional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conduct.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concorda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(antecipados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economias,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interrupções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operacionais,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operacionais,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sofridos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incorridos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natureza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causa,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indiretos,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consequenciais,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oriundos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desempenho,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incapacidade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bancos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independentemente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possibilidade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iminência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held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(whether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early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economies,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operational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interruptions,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increase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operating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expenses,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expenses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incurred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irrespective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whether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indirect,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consequential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originating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performance,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incapacity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hardware,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databases,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materials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possibility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imminence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6.2.1.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assumidas,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indiretos.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assumed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hereunder,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indirect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bancos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encontram”,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nenhum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garantia,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incluindo,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garantias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implícitas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comercial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adequação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violação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específica.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responsabilizar-se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desempenho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atenderão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interrupções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falhas.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isenta-se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expressamente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garantias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natureza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expressa,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implícita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incluindo,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oportunidade,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sequência,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integridade,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exatidão,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ausência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interrupções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garantias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implícitas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decorrentes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desempenho.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hardware,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database,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materials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"as-is",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kind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guarantee,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implicit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guarantees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commercial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adjustment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title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no-violation.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risk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quality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materials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neither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warrants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material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objectives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errors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operate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interruptions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expressly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exempts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itself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express,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implicit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statutory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warranty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kind,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opportunity,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sequence,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integrity,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accuracy,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inexistence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interruptions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implicit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warranties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business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operational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process.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economias,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sofridos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incorridos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natureza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causa,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acidentais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consequenciais,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oriundos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desempenho,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incapacidade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bancos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independentemente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possibilidade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iminência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assume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decisões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comunicações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Administradoras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hardwares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bancos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independentemente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possibilidade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iminência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6.4.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fully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profits,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economies,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suffered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incurred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irrespective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accidental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consequential,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originate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performance,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incapacity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hardware,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databases,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materials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possibility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imminence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assumes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full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decisions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investment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transactions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Network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Administrators,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computer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programs,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hardware,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databases,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materials,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possibility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imminence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Nenhuma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interpretada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criasse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desenvolvimento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aprimoramento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construed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create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kind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development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improvement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Força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Maior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inexecução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fortuito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maior.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torna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nenhuma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atrasos,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falhas,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perdas,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destruição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funcionamento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equipamento,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consequências,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causados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originados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incêndio,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terremoto,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inundação,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água,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fenômenos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naturais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públicos,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energia,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explosões,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distúrbios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civis,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terroristas,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governamentais,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indisponibilidade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transporte,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omissões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circunstâncias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razoável.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prejudicada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possível,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empregar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mitigar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6.6.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Force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Majeure.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wholly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God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majeure.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delays,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destruction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malfunctioning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equipment,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consequences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originated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earthquake,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flood,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water,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natural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phenomena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lack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labor,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utility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interruptions,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power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explosions,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civil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disturbances,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terrorist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governmental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measures,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unavailability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transportation,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third-party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omissions,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circumstances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beyond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reasonable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control.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occurrence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majeure,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aggrieved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notify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possible,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mitigate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Remuneração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remuneração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periodicidade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(“Remuneração”)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conforme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observado,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ainda,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7.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Remuneration.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remuneration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each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amounts,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frequency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("Remuneration")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requested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delivery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subject,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addition,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15.3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Remuneração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critério,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prévia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escrito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Ofício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Circular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Externo,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antecedência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(noventa)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7.1.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change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Remuneration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payment,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discretion,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delivery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written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Circular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Letter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External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least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ninety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(90)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days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advance.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quitar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Remuneração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7.2.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settle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amounts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Remuneration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7.2.1.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efetivação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prazos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discriminados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acarretará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multa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2%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(dois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cento)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cumulada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1%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cento)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incidente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atualizado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7.2.1.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payments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two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percent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(2%)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fine,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plus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payment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percent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(1%)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month,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levied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amount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debt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adjusted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variation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index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mentioned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Tributos.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tributos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(impostos,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taxas,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contribuições,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decorrência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celebração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conforme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determinado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legislação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tributária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vigor.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8.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Taxes.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Each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taxes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(taxes,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fees,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contributions,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applicable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tax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Publicidade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concordam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anuência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prévia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poderão: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empresarial,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domínio,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depositadas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registradas,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expressões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propaganda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distintivos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propriedade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intelectual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titularidade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grupo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econômico,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anúncios,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veículos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indiretamente,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tenha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aprovado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endossado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9.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No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Publicity.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domain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filed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registered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trademarks,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advertisement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signs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expressions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distinctive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signs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intellectual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property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owned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economic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group,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vehicles;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declare,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indirectly,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approved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endorsed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Vigência.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período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(doze)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renovação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automática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sucessivos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períodos,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resilido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antecedência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(trinta)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10.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Effectiveness.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twelve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(12)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months,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automatic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renewal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successive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periods,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delivery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least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(30)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days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advance.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estejam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égide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8.666/93,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início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(doze)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prorrogado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sucessivos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períodos,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prazo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admitido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consoante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escrita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encerramento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vigência.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10.1.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institutions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governed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Brazilian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8.666/93,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twelve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(12)</w:t>
            </w:r>
            <w:r w:rsidR="000656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months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understood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extended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successive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periods,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until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permitted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pursuant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article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57,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II,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written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effectiveness.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Suspensão.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restringir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prévia,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incorra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inadimplemento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representar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critério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Suspension.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suspend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restrict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defaults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otherwise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becomes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risk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discretion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Rescisão.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rescindido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extrajudicial,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hipótese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situações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descritas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abaixo: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Termination.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extrajudicial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notification,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occurrence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situations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described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below: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instrumento,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obrigando-se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infratora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ressarcir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inocente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prejuízos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causa;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noncompliance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clause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breaching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redress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innocent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decretação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falência,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liquidação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recuperação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extrajudicial,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dissolução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adjudication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bankruptcy,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claim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liquidation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court-supervised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out-of-court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reorganization,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dissolution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cancelada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funcionamento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regular.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authorization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operation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cancelled.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12.1.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causa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término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cessará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imediatamente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direito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Irrespective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PRINCIPAL’s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immediately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cease.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12.1.1.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prejuízo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acima,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poderão,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boa-fé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comum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acordo,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estabelecer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cronograma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escalonado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término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consequente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perda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direito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hipóteses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existam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regulatórias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pendentes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12.1.1.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prejudice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above,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good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mutual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stepped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schedule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consequent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whenever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regulatory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pending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pursuant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Notificações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comunicação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relativa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feita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escrito,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eletrônico,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endereços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abaixo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especificados,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endereços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eventualmente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vierem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indicados: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Notices.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between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electronic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addresses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below,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addresses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indicated: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CONTRATANTE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PRINCIPAL</w:t>
            </w:r>
          </w:p>
        </w:tc>
      </w:tr>
      <w:tr w:rsidR="008A2E34" w:rsidRPr="00A8060A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756B9D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departamento"/>
                  <w:enabled/>
                  <w:calcOnExit w:val="0"/>
                  <w:textInput>
                    <w:default w:val="INSERIR O NOME DO DEPARTAMENTO RESPONSÁVEL / INSERT THE NAME OF THE RESPONSIBLE DEPARTMENT"/>
                    <w:format w:val="Maiúsculas"/>
                  </w:textInput>
                </w:ffData>
              </w:fldChar>
            </w:r>
            <w:bookmarkStart w:id="8" w:name="departamento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600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 O NOME DO DEPARTAMENTO RESPONSÁVEL / INSERT THE NAME OF THE RESPONSIBLE DEPARTMENT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8"/>
          </w:p>
        </w:tc>
        <w:tc>
          <w:tcPr>
            <w:tcW w:w="2500" w:type="pct"/>
            <w:shd w:val="clear" w:color="auto" w:fill="auto"/>
            <w:noWrap/>
          </w:tcPr>
          <w:p w:rsidR="008A2E34" w:rsidRPr="008A2E34" w:rsidRDefault="00583CE4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departamento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 O NOME DO DEPARTAMENTO RESPONSÁVEL / INSERT THE NAME OF THE RESPONSIBLE DEPARTMENT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endereço"/>
                  <w:enabled/>
                  <w:calcOnExit w:val="0"/>
                  <w:textInput>
                    <w:default w:val="inserir endereço completo / insert full address"/>
                  </w:textInput>
                </w:ffData>
              </w:fldChar>
            </w:r>
            <w:bookmarkStart w:id="9" w:name="endereço"/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endereço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completo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/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insert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full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address</w: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9"/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583CE4" w:rsidRDefault="00756B9D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Address: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endereço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 w:eastAsia="pt-BR"/>
              </w:rPr>
              <w:t>inserir endereço completo / insert full address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lefone"/>
                  <w:enabled/>
                  <w:calcOnExit w:val="0"/>
                  <w:textInput>
                    <w:default w:val="inserir telefone com DDI e DDD / insert telephone number"/>
                  </w:textInput>
                </w:ffData>
              </w:fldChar>
            </w:r>
            <w:bookmarkStart w:id="10" w:name="telefone"/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telefone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DDI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DDD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/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insert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telephone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number</w: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0"/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756B9D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Phone: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begin"/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REF  telefone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instrText xml:space="preserve"> \* MERGEFORMAT </w:instrTex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separate"/>
            </w:r>
            <w:r w:rsidR="004B12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 telefone com DDI e DDD / insert telephone number</w:t>
            </w:r>
            <w:r w:rsidR="00583C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fldChar w:fldCharType="end"/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inserir e-mail / insert e-mail"/>
                  </w:textInput>
                </w:ffData>
              </w:fldChar>
            </w:r>
            <w:bookmarkStart w:id="11" w:name="email"/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e-mail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/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insert</w:t>
            </w:r>
            <w:r w:rsidR="00565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56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e-mail</w:t>
            </w:r>
            <w:r w:rsidR="00756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1"/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756B9D" w:rsidP="00DA1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email </w:instrTex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4B12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inserir e-mail / insert e-mail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B3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B3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Gerencia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Desenvolvimento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Desenvolvimento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A8060A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01010-901,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Paulo/SP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Address: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01010-901,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Paulo/SP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5511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2565-7102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Phone: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5511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2565-7102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B45E0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7" w:history="1">
              <w:r w:rsidR="008A2E34" w:rsidRPr="008A2E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>E-mail:</w:t>
              </w:r>
              <w:r w:rsidR="00565B4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 </w:t>
              </w:r>
              <w:r w:rsidR="008A2E34" w:rsidRPr="008A2E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>bvmfsolution@b3.com.br</w:t>
              </w:r>
              <w:r w:rsidR="00565B4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 </w:t>
              </w:r>
            </w:hyperlink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B45E0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8" w:history="1">
              <w:r w:rsidR="008A2E34" w:rsidRPr="008A2E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>E-mail:</w:t>
              </w:r>
              <w:r w:rsidR="00565B4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 </w:t>
              </w:r>
              <w:r w:rsidR="008A2E34" w:rsidRPr="008A2E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>bvmfsolution@b3.com.br</w:t>
              </w:r>
            </w:hyperlink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Confidencialidade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Segurança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Informação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comprometem-se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a: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manter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sigilo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relacionadas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instrumento;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utilizá-las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fins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previstos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empregando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mesmos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cuidados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utilizaria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manutenção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sigilo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próprias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informações;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(iii)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adotar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cuidados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sejam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obtidas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terceiros.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Confidentiality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Security.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keep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instrument;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would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own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information;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measures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obtained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14.1.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fins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previstos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nesta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consideradas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tiver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decorrência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eventuais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códigos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senhas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entregues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dados,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conteúdos,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especificações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técnicas,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desenhos,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manuais,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esboços,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modelos,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amostras,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materiais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promocionais,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projetos,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estudos,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documentos,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planos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produtos,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custos,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preços,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nomes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clientes,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financeiras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publicadas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mídia,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planos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marketing,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oportunidades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negócios,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pesquisa,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desenvolvimento</w:t>
            </w:r>
            <w:r w:rsidRPr="008A2E3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565B4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know-how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documentos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natureza,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tangíveis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intangíveis,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disponibilizados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mídia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físico,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visual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sonoro,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eletrônico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digital,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comunicados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escrito,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verbalmente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revelados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restrita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obtidas,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ainda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venha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tomar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conhecimento,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voluntário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involuntariamente,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virtude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consecução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(“Informações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Confidenciais”).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passwords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delivered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drawings,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manuals,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sketches,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samples,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promotional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materials,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projects,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studies,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plans,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customer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names,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unpublished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financial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media,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plans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marketing,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business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opportunities,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research,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development,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know-how;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tangible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intangible,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available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media,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physical,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visual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audio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medium,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electronic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digital,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verbally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otherwise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restricted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obtained,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voluntarily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involuntarily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becomes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virtue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deemed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Information").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14.2.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Exclusões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consideradas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fins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14,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Exclusions.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14,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following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considered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domínio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público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época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tiverem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reveladas;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already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domain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disclosed;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passarem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domínio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público,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divulgação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efetuada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violação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become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domain,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violation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legalmente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reveladas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tenham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conhecimento,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estejam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quebrando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confidencialidade;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knowledge,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breaching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confidentiality;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(iv)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reveladas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decisão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emitida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órgão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administrativo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jurisdição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ordem.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(iv)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reason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decision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issued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body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jurisdiction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14.2.1.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ônus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prova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reveladas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enquadram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hipóteses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acima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alegar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exceção.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14.2.1.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burden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falls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above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claiming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exception.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14.3.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Divulgação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exigida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força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lei.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obrigada,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força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lei,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ordem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judicial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administrativa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fundamentada,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revelar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notificar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imediatamente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Parte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determinação,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empregar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melhores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assegurar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tratamento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sigiloso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14.3.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Disclosure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required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law.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court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reasoned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disclose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promptly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notify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determination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ensure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treatment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14.4.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venha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extinto,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razão,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comprometem-se,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legislação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regulamentação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vigor,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devolver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eliminar,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becomes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reason,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return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eliminate,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14.5.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deverão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orientar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Representantes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venham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consecução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disposições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14,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ficarão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responsáveis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perdas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decorrentes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descumprimento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confidencialidade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pactuadas.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Representatives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regarding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14,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herein.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14.6.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declara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conhece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código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conduta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normas,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diretrizes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políticas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segurança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vigentes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compromete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orientar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Representantes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venham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consecução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documentos,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respondendo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perante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preceitos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contidos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código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conduta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normas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políticas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segurança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informação.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knows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conduct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current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standards,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guidelines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policies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undertakes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advise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responding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full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contained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conduct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policies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14.7.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obrigação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sigilo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prevista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nesta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subsistirá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após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término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período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adicional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(cinco)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conforme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disposto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legislação/regulamentação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vigor,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aplicável.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14.7.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additional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period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(5)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years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legislation/regulations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applicable.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14.8.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declara-se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ciente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transacionadas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através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incluindo-se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aquelas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identifiquem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possam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identificar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pessoa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física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(“Dados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Pessoais”)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(“Informações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Transacionadas”),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tenha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razão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execução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deverão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utilizadas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exclusivamente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finalidades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referentes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relação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foi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concedido,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obriga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já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usar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Transacionadas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estrita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observância: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legislação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brasileira,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especial,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limitando,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Lei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Complementar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nº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105/2001;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legislação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estrangeira,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especial,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limitando,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Regulamento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Geral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Proteção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Dados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Pessoais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nº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2016/679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União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Europeia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(iii)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medida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lhe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aplicável.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14.8.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declares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transacted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through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identify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identify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individual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("Personal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Data")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Transacted"),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exclusively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granted,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Transacted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strict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Brazilian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legislation,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particular,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Complementary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105/2001;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foreign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legislation,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particular,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European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General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Protection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2016/679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applicable.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14.8.1.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declara-se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ciente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única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exclusivamente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integridade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Transacionadas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Tecnologia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através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sendo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responsável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veracidade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uso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Transacionadas,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restando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única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exclusivamente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responsável,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integral,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perdas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danos,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diretos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indiretos,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incluindo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lucros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cessantes,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terceiros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vierem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sofrer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razão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descumprimento,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14.8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acima.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14.8.1.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hereby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acknowledges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exclusively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integrity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Transacted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through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responsible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truthfulness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Transacted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exclusively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responsible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indirect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lost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profits,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suffer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failure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14.8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above.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Disposições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Gerais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Miscellaneous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Provisions</w:t>
            </w:r>
          </w:p>
        </w:tc>
      </w:tr>
      <w:tr w:rsidR="008A2E34" w:rsidRPr="008A2E34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Independência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Cláusulas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ilegal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executável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tribunal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jurisdição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competente: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separado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determinação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validade,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legalidade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exequibilidade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jurisdição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nenhuma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afetado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prejudicado.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Severability.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headings,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found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illegal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unenforceable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court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competent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jurisdiction: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heading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deemed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separate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remainder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determination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heading;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validity,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enforceability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heading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jurisdiction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affected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impaired.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15.2.</w:t>
            </w:r>
            <w:r w:rsidR="00565B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Sobrevivência.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natureza,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relacionadas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confidencialidade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informações,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civil,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lei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aplicável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foro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resolução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conflitos,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outras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definições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relevantes,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referências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cruzadas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semelhantes,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necessárias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tornar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efetivo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propósito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desta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cláusula,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sobreviverão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permanecerão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vigor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após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encerramento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Contrato.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Survival.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confidentiality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information,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civil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applicable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jurisdiction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conflict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resolution,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relevant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definitions,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cross-references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like,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necessary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survive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remain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Alterações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Considerando: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autorregulação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dinamicidade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renovação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adaptações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estruturas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instrumentos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jurídicos,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reserva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expressa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Tabela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Amendments.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Whereas: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self-regulation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dynamism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renewal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process,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constant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adaptations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physical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structures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instruments,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reserves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change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express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List.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15.3.1.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concorde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promovida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rescindir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ônus,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prazo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(cinco)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recebimento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emitido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prejuízo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aplicação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12.1.1.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15.3.1.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amendment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further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(5)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days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receipt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issued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prejudice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application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12.1.1.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Novação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omissão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tolerância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configura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liberalidade,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constituindo,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nenhuma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hipótese,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renúncia,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afetando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tempo.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Novation.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omission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waiver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strict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constitutes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forbearance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constitute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novation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waiver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affect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which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exercised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Cessão.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cedidos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transferidos,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consentimento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escrito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15.5.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Assignment.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assigned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transferred,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whole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written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assign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notifies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advance.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Integral.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a(s)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Solicitação(ões)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constituem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substituindo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negociações,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comunicações,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acordos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entendimentos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anteriores,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verbais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escritos,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15.6.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Entire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Agreement.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Order(s),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entire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between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replacing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written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negotiations,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communications,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understandings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15.6.1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formulário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15.6.1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requires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sending,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referred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15.6.2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formulário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eletrônico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alternativo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definido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momento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15.6.2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available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alternative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physical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electronic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means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defined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contracting.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15.7.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Desvinculação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societária.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nenhuma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hipótese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considerada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representante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mandatária,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parceira,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joint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praticar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assumir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15.7.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Corporate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disengagement.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considered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representative,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attorney-in-fact,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partner,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associate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joint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venture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behalf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contract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assume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obligations.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15.8.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Desvinculação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trabalhista.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vínculo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empregatício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solidária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subsidiária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consecução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correndo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encargos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decorrentes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legislação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trabalhista,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previdenciária,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securitária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vierem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órgãos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competentes.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encargos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trabalhistas,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previdenciários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fundiários,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pertinentes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venham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consecução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respondendo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encargos,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caráter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subsidiário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solidário,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ficando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primeira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ressarcir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segunda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venha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sofrer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responsabilidade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expressada.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15.8.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No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Labor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Relationship.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create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employment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joint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several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secondary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professionals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makes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available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account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available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expenses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professionals,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charges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resulting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current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legislation,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labor,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insurance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created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competent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bodies.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solely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exclusively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responsible,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reason,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labor,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unemployment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fund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pertinent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professionals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achieve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responding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charges,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subsidiary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joint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several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liability,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already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obliged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reimburse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latter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expense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suffer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responsibility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expressed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above.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15.9.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Intelectual.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reciprocamente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reconhecem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incluindo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atualizações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melhorias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realizadas,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constituem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propriedade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intelectual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(segredos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comerciais,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autorais,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software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patente)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reservados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exclusivamente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respectivamente,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só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permitida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finalidades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específicas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liame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vínculo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natureza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impeça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celebração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intelectuais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personalidade.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disposições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cláusula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prevalecerão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terminado,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independentemente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motivo.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15.9.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Intellectual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Property.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reciprocally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acknowledge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updates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improvements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constitute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intellectual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property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(trade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secrets,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copyrights,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software</w:t>
            </w:r>
            <w:r w:rsidR="00565B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reserved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exclusively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respectively,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permitted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specific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Rules.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declare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bond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relationship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kind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prevents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infringement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intellectual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personality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rights.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prevail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terminated,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regardless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reason.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15.10.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Práticas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anticorrupção.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cientes,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conhecem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compreendem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anticorrupção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brasileiras,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notadamente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12.846/13,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eventuais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alterações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posteriores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(“Legislação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Aplicável”),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comprometendo-se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praticar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lesivos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pública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estrangeira,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abstendo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prometer,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oferecer,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indiretamente,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interposto,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vantagem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indevida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público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estrangeiro,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terceira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pessoa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relacionada;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implementar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diretrizes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controles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adequados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destinados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prevenir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corrigir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desvios,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fazer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Representantes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determina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Legislação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Aplicável;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evidenciar,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tempos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tempos,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existência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efetividade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dessas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diretrizes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controles.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compromete-se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dificultar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investigação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fiscalização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órgãos,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públicos,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intervir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inclusive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âmbito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agências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reguladoras,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órgãos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fiscalização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financeiro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mercado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capitais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15.10.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Anti-corruption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practices.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warrant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aware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understand,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Brazilian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anti-corruption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notably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12.846/13,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subsequent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amendments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thereto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("Applicable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Law"),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undertaking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harmful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foreign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refrain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promising,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offering,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giving,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indirectly,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itself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advantage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foreign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implement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appropriate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guidelines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controls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prevent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correct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deviations,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Representatives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applicable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Legislation;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evidence,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from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request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existence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effectiveness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guidelines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controls.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Likewise,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undertakes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impede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investigation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supervision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bodies,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intervene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including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scope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regulatory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agencies,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supervisory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bodies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financial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national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capital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market.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Disposições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socioambientais.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comprometem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a: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15.11.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Social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environmental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provisions.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shall: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combater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análogo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escravo,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noturnas,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perigosas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insalubres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e/ou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exceto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aprendiz,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praticar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sentido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respectivos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fornecedores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também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comprometam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fazer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sentido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visando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combater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dessas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respectivos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comerciais;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combat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work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practices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analogous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slavery,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(ii)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hiring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minors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18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years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dangerous,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unhealthy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unsafe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activities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and/or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16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type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work,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except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minor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apprentices,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starting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14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years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suppliers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sense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combat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practices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commercial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establishments;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envidar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combater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discriminação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negativas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limitativas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emprego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manutenção,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limitando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sexo,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origem,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raça,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religião,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civil,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situação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familiar,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praticar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sentido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respectivos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fornecedores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também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comprometam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fazer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nesse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sentido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visando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prevenir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combater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discriminatórias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negativas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respectivos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estabelecimentos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comerciais;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II.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discriminatory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practices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maintenance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employment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relationship,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but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limited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to: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sex,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origin,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race,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color,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physical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condition,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religion,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marital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status,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family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situation,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suppliers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products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undertake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make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direction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prevent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combat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negative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discriminatory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practices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respective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commercial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establishments;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III.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envidar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proteger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preservar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ambiente,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prevenir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combater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agressão,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perigo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risco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ambiente,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executando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observância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regulamentos,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relativos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ambiente.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III.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protect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preserve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environment,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well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prevent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combat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aggression,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danger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risk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damage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environment,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compliance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regulations,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normative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administrative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related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environmental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area.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Auditoria.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concorda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permitir,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caráter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oneroso,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irrestrito,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vez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(doze)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empregados,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representantes,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tenham,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tempo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(durante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horário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comercial)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julgar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necessário,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aviso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prévio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escrito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antecedência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(trinta)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acesso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dependências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auditar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Infraestrutura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Tecnológica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verificar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atuando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auditoria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sujeita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políticas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segurança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CONTRATANTE,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entanto,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políticas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segurança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impeçam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alcance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propósito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auditoria.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15.12.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Audit.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allow,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costs,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every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twelve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(12)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months,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employees,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agents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representatives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have,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time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(during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business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hours)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necessary,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upon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notice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writing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least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thirty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(30)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days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advance,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premises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audit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Infrastructure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regarding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B3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Technology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Systems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Services,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order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verify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acting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provisions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audit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subject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PRINCIPAL'S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policies,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provided,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however,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security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policies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prevent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scope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purpose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audit.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Idioma.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celebrado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língua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Portuguesa.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língua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inglesa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tradução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apenas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conveniência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15.13.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Language.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entered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executed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Portuguese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version.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English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version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translation(s)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convenience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only.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15.14.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Lei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Aplicável.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será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interpretado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acordo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vigentes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República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Federativa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15.14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Applicable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law.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construed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enforced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accordance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laws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Federative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Republic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Brazil.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15.15.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Resolução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Conflitos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envidarão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esforços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atingir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composição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amigável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controvérsia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decorrente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interpretação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possível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atingir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referida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composição,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eleito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Comarca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competente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dirimir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quaisquer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litígios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renúncia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privilegiado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seja.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8A2E34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15.15.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Dispute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>Resolution.</w:t>
            </w:r>
            <w:r w:rsidR="00565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shall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use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their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best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efforts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achieve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amicable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settlement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dispute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arising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out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interpretation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performance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Agreement.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event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that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not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possible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reach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said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composition,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Courts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Judicial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District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Capital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State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São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Paulo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are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elected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competent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settle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disputes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between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with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waiver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other,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however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privileged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may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be.</w:t>
            </w:r>
          </w:p>
        </w:tc>
      </w:tr>
      <w:tr w:rsidR="008A2E34" w:rsidRPr="008B45E0" w:rsidTr="00565B49">
        <w:trPr>
          <w:trHeight w:val="20"/>
        </w:trPr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8A2E34" w:rsidRPr="008A2E34" w:rsidRDefault="00565B49" w:rsidP="00565B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</w:tr>
    </w:tbl>
    <w:p w:rsidR="00CF6E79" w:rsidRPr="00CF6E79" w:rsidRDefault="00CF6E79">
      <w:pPr>
        <w:rPr>
          <w:lang w:val="en-US"/>
        </w:rPr>
      </w:pPr>
    </w:p>
    <w:p w:rsidR="00DA1B8A" w:rsidRPr="004B1296" w:rsidRDefault="00DA1B8A">
      <w:pPr>
        <w:rPr>
          <w:lang w:val="en-US"/>
        </w:rPr>
      </w:pPr>
      <w:r w:rsidRPr="004B1296">
        <w:rPr>
          <w:lang w:val="en-US"/>
        </w:rPr>
        <w:br w:type="page"/>
      </w:r>
    </w:p>
    <w:tbl>
      <w:tblPr>
        <w:tblW w:w="5000" w:type="pct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8"/>
        <w:gridCol w:w="4718"/>
      </w:tblGrid>
      <w:tr w:rsidR="008A2E34" w:rsidRPr="008B45E0" w:rsidTr="00DA1B8A">
        <w:trPr>
          <w:trHeight w:val="20"/>
        </w:trPr>
        <w:tc>
          <w:tcPr>
            <w:tcW w:w="2580" w:type="pct"/>
            <w:shd w:val="clear" w:color="auto" w:fill="auto"/>
            <w:noWrap/>
            <w:vAlign w:val="center"/>
            <w:hideMark/>
          </w:tcPr>
          <w:p w:rsidR="008A2E34" w:rsidRPr="008A2E34" w:rsidRDefault="008A2E34" w:rsidP="008A2E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estarem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contratadas,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(duas)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teor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só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presença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(duas)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testemunhas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abaixo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identificadas.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8A2E34" w:rsidRPr="008A2E34" w:rsidRDefault="008A2E34" w:rsidP="008A2E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WITNESS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WHEREOF,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Parties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have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signed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this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Agreement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below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two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(2)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counterparts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equal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form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and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content,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in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presence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of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the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two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(2)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undersigned</w:t>
            </w:r>
            <w:r w:rsidR="00565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A2E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witnesses.</w:t>
            </w:r>
          </w:p>
        </w:tc>
      </w:tr>
    </w:tbl>
    <w:p w:rsidR="00E56283" w:rsidRPr="00305C36" w:rsidRDefault="00E56283" w:rsidP="00E56283">
      <w:pPr>
        <w:spacing w:after="0" w:line="360" w:lineRule="auto"/>
        <w:jc w:val="center"/>
        <w:rPr>
          <w:rFonts w:ascii="Arial" w:eastAsia="Calibri" w:hAnsi="Arial" w:cs="Arial"/>
          <w:color w:val="000000"/>
          <w:shd w:val="pct15" w:color="auto" w:fill="FFFFFF"/>
          <w:lang w:val="en-US" w:eastAsia="en-US"/>
        </w:rPr>
      </w:pPr>
    </w:p>
    <w:p w:rsidR="00E56283" w:rsidRDefault="00756B9D" w:rsidP="00E56283">
      <w:pPr>
        <w:spacing w:after="0" w:line="360" w:lineRule="auto"/>
        <w:jc w:val="center"/>
        <w:rPr>
          <w:rFonts w:ascii="Arial" w:eastAsia="Calibri" w:hAnsi="Arial" w:cs="Arial"/>
          <w:color w:val="000000"/>
          <w:shd w:val="pct15" w:color="auto" w:fill="FFFFFF"/>
          <w:lang w:eastAsia="en-US"/>
        </w:rPr>
      </w:pPr>
      <w:r>
        <w:rPr>
          <w:rFonts w:ascii="Arial" w:eastAsia="Calibri" w:hAnsi="Arial" w:cs="Arial"/>
          <w:color w:val="000000"/>
          <w:shd w:val="pct15" w:color="auto" w:fill="FFFFFF"/>
          <w:lang w:eastAsia="en-US"/>
        </w:rPr>
        <w:fldChar w:fldCharType="begin">
          <w:ffData>
            <w:name w:val=""/>
            <w:enabled/>
            <w:calcOnExit w:val="0"/>
            <w:textInput>
              <w:default w:val="[data / date]"/>
            </w:textInput>
          </w:ffData>
        </w:fldChar>
      </w:r>
      <w:r>
        <w:rPr>
          <w:rFonts w:ascii="Arial" w:eastAsia="Calibri" w:hAnsi="Arial" w:cs="Arial"/>
          <w:color w:val="000000"/>
          <w:shd w:val="pct15" w:color="auto" w:fill="FFFFFF"/>
          <w:lang w:eastAsia="en-US"/>
        </w:rPr>
        <w:instrText xml:space="preserve"> FORMTEXT </w:instrText>
      </w:r>
      <w:r>
        <w:rPr>
          <w:rFonts w:ascii="Arial" w:eastAsia="Calibri" w:hAnsi="Arial" w:cs="Arial"/>
          <w:color w:val="000000"/>
          <w:shd w:val="pct15" w:color="auto" w:fill="FFFFFF"/>
          <w:lang w:eastAsia="en-US"/>
        </w:rPr>
      </w:r>
      <w:r>
        <w:rPr>
          <w:rFonts w:ascii="Arial" w:eastAsia="Calibri" w:hAnsi="Arial" w:cs="Arial"/>
          <w:color w:val="000000"/>
          <w:shd w:val="pct15" w:color="auto" w:fill="FFFFFF"/>
          <w:lang w:eastAsia="en-US"/>
        </w:rPr>
        <w:fldChar w:fldCharType="separate"/>
      </w:r>
      <w:r>
        <w:rPr>
          <w:rFonts w:ascii="Arial" w:eastAsia="Calibri" w:hAnsi="Arial" w:cs="Arial"/>
          <w:noProof/>
          <w:color w:val="000000"/>
          <w:shd w:val="pct15" w:color="auto" w:fill="FFFFFF"/>
          <w:lang w:eastAsia="en-US"/>
        </w:rPr>
        <w:t>[data</w:t>
      </w:r>
      <w:r w:rsidR="00565B49">
        <w:rPr>
          <w:rFonts w:ascii="Arial" w:eastAsia="Calibri" w:hAnsi="Arial" w:cs="Arial"/>
          <w:noProof/>
          <w:color w:val="000000"/>
          <w:shd w:val="pct15" w:color="auto" w:fill="FFFFFF"/>
          <w:lang w:eastAsia="en-US"/>
        </w:rPr>
        <w:t xml:space="preserve"> </w:t>
      </w:r>
      <w:r>
        <w:rPr>
          <w:rFonts w:ascii="Arial" w:eastAsia="Calibri" w:hAnsi="Arial" w:cs="Arial"/>
          <w:noProof/>
          <w:color w:val="000000"/>
          <w:shd w:val="pct15" w:color="auto" w:fill="FFFFFF"/>
          <w:lang w:eastAsia="en-US"/>
        </w:rPr>
        <w:t>/</w:t>
      </w:r>
      <w:r w:rsidR="00565B49">
        <w:rPr>
          <w:rFonts w:ascii="Arial" w:eastAsia="Calibri" w:hAnsi="Arial" w:cs="Arial"/>
          <w:noProof/>
          <w:color w:val="000000"/>
          <w:shd w:val="pct15" w:color="auto" w:fill="FFFFFF"/>
          <w:lang w:eastAsia="en-US"/>
        </w:rPr>
        <w:t xml:space="preserve"> </w:t>
      </w:r>
      <w:r>
        <w:rPr>
          <w:rFonts w:ascii="Arial" w:eastAsia="Calibri" w:hAnsi="Arial" w:cs="Arial"/>
          <w:noProof/>
          <w:color w:val="000000"/>
          <w:shd w:val="pct15" w:color="auto" w:fill="FFFFFF"/>
          <w:lang w:eastAsia="en-US"/>
        </w:rPr>
        <w:t>date]</w:t>
      </w:r>
      <w:r>
        <w:rPr>
          <w:rFonts w:ascii="Arial" w:eastAsia="Calibri" w:hAnsi="Arial" w:cs="Arial"/>
          <w:color w:val="000000"/>
          <w:shd w:val="pct15" w:color="auto" w:fill="FFFFFF"/>
          <w:lang w:eastAsia="en-US"/>
        </w:rPr>
        <w:fldChar w:fldCharType="end"/>
      </w:r>
    </w:p>
    <w:p w:rsidR="004A78C3" w:rsidRDefault="004A78C3" w:rsidP="00E56283">
      <w:pPr>
        <w:spacing w:after="0" w:line="360" w:lineRule="auto"/>
        <w:jc w:val="center"/>
        <w:rPr>
          <w:rFonts w:ascii="Arial" w:eastAsia="Calibri" w:hAnsi="Arial" w:cs="Arial"/>
          <w:color w:val="000000"/>
          <w:shd w:val="pct15" w:color="auto" w:fill="FFFFFF"/>
          <w:lang w:eastAsia="en-US"/>
        </w:rPr>
      </w:pPr>
    </w:p>
    <w:p w:rsidR="004A78C3" w:rsidRDefault="004A78C3" w:rsidP="00E56283">
      <w:pPr>
        <w:spacing w:after="0" w:line="360" w:lineRule="auto"/>
        <w:jc w:val="center"/>
        <w:rPr>
          <w:rFonts w:ascii="Arial" w:eastAsia="Calibri" w:hAnsi="Arial" w:cs="Arial"/>
          <w:color w:val="000000"/>
          <w:shd w:val="pct15" w:color="auto" w:fill="FFFFFF"/>
          <w:lang w:eastAsia="en-US"/>
        </w:rPr>
      </w:pPr>
    </w:p>
    <w:p w:rsidR="00E56283" w:rsidRDefault="00E56283" w:rsidP="00E56283">
      <w:pPr>
        <w:spacing w:after="0" w:line="360" w:lineRule="auto"/>
        <w:jc w:val="center"/>
        <w:rPr>
          <w:rFonts w:ascii="Arial" w:eastAsia="Calibri" w:hAnsi="Arial" w:cs="Arial"/>
          <w:color w:val="000000"/>
          <w:shd w:val="pct15" w:color="auto" w:fill="FFFFFF"/>
          <w:lang w:eastAsia="en-US"/>
        </w:rPr>
      </w:pPr>
    </w:p>
    <w:p w:rsidR="00E56283" w:rsidRDefault="00E56283" w:rsidP="00E56283">
      <w:pPr>
        <w:spacing w:after="0" w:line="360" w:lineRule="auto"/>
        <w:jc w:val="center"/>
        <w:rPr>
          <w:rFonts w:ascii="Arial" w:eastAsia="Calibri" w:hAnsi="Arial" w:cs="Arial"/>
          <w:color w:val="000000"/>
          <w:shd w:val="pct15" w:color="auto" w:fill="FFFFFF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3"/>
        <w:gridCol w:w="4873"/>
      </w:tblGrid>
      <w:tr w:rsidR="00DA1B8A" w:rsidRPr="0084587C" w:rsidTr="00DA1B8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DA1B8A" w:rsidRPr="0086429D" w:rsidRDefault="00DA1B8A" w:rsidP="00DA1B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429D">
              <w:rPr>
                <w:rFonts w:ascii="Arial" w:hAnsi="Arial" w:cs="Arial"/>
                <w:b/>
              </w:rPr>
              <w:t>B3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429D">
              <w:rPr>
                <w:rFonts w:ascii="Arial" w:hAnsi="Arial" w:cs="Arial"/>
                <w:b/>
              </w:rPr>
              <w:t>S.A.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429D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429D">
              <w:rPr>
                <w:rFonts w:ascii="Arial" w:hAnsi="Arial" w:cs="Arial"/>
                <w:b/>
              </w:rPr>
              <w:t>BRASIL,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429D">
              <w:rPr>
                <w:rFonts w:ascii="Arial" w:hAnsi="Arial" w:cs="Arial"/>
                <w:b/>
              </w:rPr>
              <w:t>BOLSA,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429D">
              <w:rPr>
                <w:rFonts w:ascii="Arial" w:hAnsi="Arial" w:cs="Arial"/>
                <w:b/>
              </w:rPr>
              <w:t>BALCÃO</w:t>
            </w:r>
          </w:p>
        </w:tc>
      </w:tr>
      <w:tr w:rsidR="00DA1B8A" w:rsidRPr="0084587C" w:rsidTr="00DA1B8A">
        <w:trPr>
          <w:jc w:val="center"/>
        </w:trPr>
        <w:tc>
          <w:tcPr>
            <w:tcW w:w="2500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Nome/Name</w:t>
            </w:r>
            <w:r w:rsidRPr="0086429D">
              <w:rPr>
                <w:rFonts w:ascii="Arial" w:hAnsi="Arial" w:cs="Arial"/>
              </w:rPr>
              <w:t>:</w:t>
            </w:r>
          </w:p>
        </w:tc>
        <w:tc>
          <w:tcPr>
            <w:tcW w:w="2500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Nome/Name</w:t>
            </w:r>
            <w:r w:rsidRPr="0086429D">
              <w:rPr>
                <w:rFonts w:ascii="Arial" w:hAnsi="Arial" w:cs="Arial"/>
              </w:rPr>
              <w:t>:</w:t>
            </w:r>
          </w:p>
        </w:tc>
      </w:tr>
      <w:tr w:rsidR="00DA1B8A" w:rsidRPr="0084587C" w:rsidTr="00DA1B8A">
        <w:trPr>
          <w:jc w:val="center"/>
        </w:trPr>
        <w:tc>
          <w:tcPr>
            <w:tcW w:w="2500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Cargo</w:t>
            </w:r>
            <w:r w:rsidRPr="0086429D">
              <w:rPr>
                <w:rFonts w:ascii="Arial" w:hAnsi="Arial" w:cs="Arial"/>
              </w:rPr>
              <w:t>/Title:</w:t>
            </w:r>
          </w:p>
        </w:tc>
        <w:tc>
          <w:tcPr>
            <w:tcW w:w="2500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Cargo</w:t>
            </w:r>
            <w:r w:rsidRPr="0086429D">
              <w:rPr>
                <w:rFonts w:ascii="Arial" w:hAnsi="Arial" w:cs="Arial"/>
              </w:rPr>
              <w:t>/Title:</w:t>
            </w:r>
          </w:p>
        </w:tc>
      </w:tr>
    </w:tbl>
    <w:p w:rsidR="00DA1B8A" w:rsidRDefault="00DA1B8A"/>
    <w:p w:rsidR="00DA1B8A" w:rsidRDefault="00DA1B8A"/>
    <w:p w:rsidR="00EF68E4" w:rsidRDefault="00EF68E4"/>
    <w:p w:rsidR="00DA1B8A" w:rsidRDefault="00DA1B8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52"/>
        <w:gridCol w:w="4694"/>
      </w:tblGrid>
      <w:tr w:rsidR="00DA1B8A" w:rsidRPr="00DA1B8A" w:rsidTr="00DA1B8A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DA1B8A" w:rsidRPr="00DA1B8A" w:rsidRDefault="00DA1B8A" w:rsidP="00DA1B8A">
            <w:pPr>
              <w:tabs>
                <w:tab w:val="left" w:pos="4987"/>
              </w:tabs>
              <w:spacing w:after="0"/>
              <w:jc w:val="center"/>
              <w:rPr>
                <w:rFonts w:ascii="Arial" w:hAnsi="Arial" w:cs="Arial"/>
              </w:rPr>
            </w:pPr>
            <w:r w:rsidRPr="00DA1B8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fldChar w:fldCharType="begin"/>
            </w:r>
            <w:r w:rsidRPr="00DA1B8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instrText xml:space="preserve"> REF  razaosocial  \* MERGEFORMAT </w:instrText>
            </w:r>
            <w:r w:rsidRPr="00DA1B8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fldChar w:fldCharType="separate"/>
            </w:r>
            <w:r w:rsidR="004B1296" w:rsidRPr="004B1296">
              <w:rPr>
                <w:rFonts w:ascii="Arial" w:eastAsia="Times New Roman" w:hAnsi="Arial" w:cs="Arial"/>
                <w:b/>
                <w:bCs/>
                <w:noProof/>
                <w:color w:val="000000"/>
                <w:szCs w:val="20"/>
                <w:lang w:eastAsia="pt-BR"/>
              </w:rPr>
              <w:t>(RAZÃO SOCIAL DA CONTRATANTE / CORPORATE NAME OF PRINCIPAL)</w:t>
            </w:r>
            <w:r w:rsidRPr="00DA1B8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 w:eastAsia="pt-BR"/>
              </w:rPr>
              <w:fldChar w:fldCharType="end"/>
            </w:r>
          </w:p>
        </w:tc>
      </w:tr>
      <w:tr w:rsidR="00DA1B8A" w:rsidRPr="00E56283" w:rsidTr="00DA1B8A">
        <w:trPr>
          <w:trHeight w:val="227"/>
          <w:jc w:val="center"/>
        </w:trPr>
        <w:tc>
          <w:tcPr>
            <w:tcW w:w="2592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Nome/Name</w:t>
            </w:r>
            <w:r w:rsidRPr="0086429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EF68E4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2" w:name="Texto1"/>
            <w:r w:rsidR="00EF68E4">
              <w:rPr>
                <w:rFonts w:ascii="Arial" w:hAnsi="Arial" w:cs="Arial"/>
              </w:rPr>
              <w:instrText xml:space="preserve"> FORMTEXT </w:instrText>
            </w:r>
            <w:r w:rsidR="00EF68E4">
              <w:rPr>
                <w:rFonts w:ascii="Arial" w:hAnsi="Arial" w:cs="Arial"/>
              </w:rPr>
            </w:r>
            <w:r w:rsidR="00EF68E4">
              <w:rPr>
                <w:rFonts w:ascii="Arial" w:hAnsi="Arial" w:cs="Arial"/>
              </w:rPr>
              <w:fldChar w:fldCharType="separate"/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08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Nome/Name</w:t>
            </w:r>
            <w:r w:rsidRPr="0086429D">
              <w:rPr>
                <w:rFonts w:ascii="Arial" w:hAnsi="Arial" w:cs="Arial"/>
              </w:rPr>
              <w:t>:</w:t>
            </w:r>
            <w:r w:rsidR="00EF68E4">
              <w:rPr>
                <w:rFonts w:ascii="Arial" w:hAnsi="Arial" w:cs="Arial"/>
              </w:rPr>
              <w:t xml:space="preserve"> </w:t>
            </w:r>
            <w:r w:rsidR="00EF68E4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 w:rsidR="00EF68E4">
              <w:rPr>
                <w:rFonts w:ascii="Arial" w:hAnsi="Arial" w:cs="Arial"/>
              </w:rPr>
              <w:instrText xml:space="preserve"> FORMTEXT </w:instrText>
            </w:r>
            <w:r w:rsidR="00EF68E4">
              <w:rPr>
                <w:rFonts w:ascii="Arial" w:hAnsi="Arial" w:cs="Arial"/>
              </w:rPr>
            </w:r>
            <w:r w:rsidR="00EF68E4">
              <w:rPr>
                <w:rFonts w:ascii="Arial" w:hAnsi="Arial" w:cs="Arial"/>
              </w:rPr>
              <w:fldChar w:fldCharType="separate"/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DA1B8A" w:rsidRPr="00E56283" w:rsidTr="00DA1B8A">
        <w:trPr>
          <w:trHeight w:val="227"/>
          <w:jc w:val="center"/>
        </w:trPr>
        <w:tc>
          <w:tcPr>
            <w:tcW w:w="2592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Cargo</w:t>
            </w:r>
            <w:r w:rsidRPr="0086429D">
              <w:rPr>
                <w:rFonts w:ascii="Arial" w:hAnsi="Arial" w:cs="Arial"/>
              </w:rPr>
              <w:t>/Title:</w:t>
            </w:r>
            <w:r w:rsidR="00EF68E4">
              <w:rPr>
                <w:rFonts w:ascii="Arial" w:hAnsi="Arial" w:cs="Arial"/>
              </w:rPr>
              <w:t xml:space="preserve"> </w:t>
            </w:r>
            <w:r w:rsidR="00EF68E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4" w:name="Texto2"/>
            <w:r w:rsidR="00EF68E4">
              <w:rPr>
                <w:rFonts w:ascii="Arial" w:hAnsi="Arial" w:cs="Arial"/>
              </w:rPr>
              <w:instrText xml:space="preserve"> FORMTEXT </w:instrText>
            </w:r>
            <w:r w:rsidR="00EF68E4">
              <w:rPr>
                <w:rFonts w:ascii="Arial" w:hAnsi="Arial" w:cs="Arial"/>
              </w:rPr>
            </w:r>
            <w:r w:rsidR="00EF68E4">
              <w:rPr>
                <w:rFonts w:ascii="Arial" w:hAnsi="Arial" w:cs="Arial"/>
              </w:rPr>
              <w:fldChar w:fldCharType="separate"/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408" w:type="pct"/>
          </w:tcPr>
          <w:p w:rsidR="00DA1B8A" w:rsidRPr="0086429D" w:rsidRDefault="00DA1B8A" w:rsidP="00DA1B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Cargo</w:t>
            </w:r>
            <w:r w:rsidRPr="0086429D">
              <w:rPr>
                <w:rFonts w:ascii="Arial" w:hAnsi="Arial" w:cs="Arial"/>
              </w:rPr>
              <w:t>/Title:</w:t>
            </w:r>
            <w:r w:rsidR="00EF68E4">
              <w:rPr>
                <w:rFonts w:ascii="Arial" w:hAnsi="Arial" w:cs="Arial"/>
              </w:rPr>
              <w:t xml:space="preserve"> </w:t>
            </w:r>
            <w:r w:rsidR="00EF68E4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5" w:name="Texto4"/>
            <w:r w:rsidR="00EF68E4">
              <w:rPr>
                <w:rFonts w:ascii="Arial" w:hAnsi="Arial" w:cs="Arial"/>
              </w:rPr>
              <w:instrText xml:space="preserve"> FORMTEXT </w:instrText>
            </w:r>
            <w:r w:rsidR="00EF68E4">
              <w:rPr>
                <w:rFonts w:ascii="Arial" w:hAnsi="Arial" w:cs="Arial"/>
              </w:rPr>
            </w:r>
            <w:r w:rsidR="00EF68E4">
              <w:rPr>
                <w:rFonts w:ascii="Arial" w:hAnsi="Arial" w:cs="Arial"/>
              </w:rPr>
              <w:fldChar w:fldCharType="separate"/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  <w:noProof/>
              </w:rPr>
              <w:t> </w:t>
            </w:r>
            <w:r w:rsidR="00EF68E4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DA1B8A" w:rsidRDefault="00DA1B8A"/>
    <w:p w:rsidR="00DA1B8A" w:rsidRDefault="00DA1B8A"/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A1B8A" w:rsidRPr="0086429D" w:rsidTr="00DA1B8A">
        <w:trPr>
          <w:trHeight w:val="34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DA1B8A" w:rsidRDefault="00DA1B8A" w:rsidP="00DA1B8A">
            <w:pPr>
              <w:rPr>
                <w:rFonts w:ascii="Arial" w:hAnsi="Arial" w:cs="Arial"/>
              </w:rPr>
            </w:pPr>
            <w:r w:rsidRPr="0086429D">
              <w:rPr>
                <w:rFonts w:ascii="Arial" w:hAnsi="Arial" w:cs="Arial"/>
              </w:rPr>
              <w:t>Testemunhas</w:t>
            </w:r>
            <w:r>
              <w:rPr>
                <w:rFonts w:ascii="Arial" w:hAnsi="Arial" w:cs="Arial"/>
              </w:rPr>
              <w:t xml:space="preserve"> </w:t>
            </w:r>
            <w:r w:rsidRPr="0086429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56283">
              <w:rPr>
                <w:rFonts w:ascii="Arial" w:hAnsi="Arial" w:cs="Arial"/>
              </w:rPr>
              <w:t>Witnesses</w:t>
            </w:r>
            <w:r w:rsidRPr="0086429D">
              <w:rPr>
                <w:rFonts w:ascii="Arial" w:hAnsi="Arial" w:cs="Arial"/>
              </w:rPr>
              <w:t>:</w:t>
            </w:r>
          </w:p>
          <w:p w:rsidR="00DA1B8A" w:rsidRDefault="00DA1B8A" w:rsidP="00DA1B8A">
            <w:pPr>
              <w:rPr>
                <w:rFonts w:ascii="Arial" w:hAnsi="Arial" w:cs="Arial"/>
              </w:rPr>
            </w:pPr>
          </w:p>
          <w:p w:rsidR="00DA1B8A" w:rsidRDefault="00DA1B8A" w:rsidP="00DA1B8A">
            <w:pPr>
              <w:rPr>
                <w:rFonts w:ascii="Arial" w:hAnsi="Arial" w:cs="Arial"/>
              </w:rPr>
            </w:pPr>
          </w:p>
          <w:p w:rsidR="00DA1B8A" w:rsidRPr="0086429D" w:rsidRDefault="00DA1B8A" w:rsidP="00DA1B8A">
            <w:pPr>
              <w:rPr>
                <w:rFonts w:ascii="Arial" w:hAnsi="Arial" w:cs="Arial"/>
              </w:rPr>
            </w:pPr>
          </w:p>
          <w:tbl>
            <w:tblPr>
              <w:tblW w:w="10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2279"/>
              <w:gridCol w:w="426"/>
              <w:gridCol w:w="3108"/>
              <w:gridCol w:w="3011"/>
            </w:tblGrid>
            <w:tr w:rsidR="00DA1B8A" w:rsidRPr="0086429D" w:rsidTr="00DA1B8A">
              <w:trPr>
                <w:trHeight w:val="283"/>
              </w:trPr>
              <w:tc>
                <w:tcPr>
                  <w:tcW w:w="8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1B8A" w:rsidRPr="0086429D" w:rsidRDefault="00DA1B8A" w:rsidP="00DA1B8A">
                  <w:pPr>
                    <w:spacing w:before="2" w:after="2"/>
                    <w:ind w:left="-57" w:right="-57"/>
                    <w:contextualSpacing/>
                    <w:rPr>
                      <w:rFonts w:ascii="Arial" w:hAnsi="Arial" w:cs="Arial"/>
                      <w:caps/>
                      <w:lang w:val="pt-PT"/>
                    </w:rPr>
                  </w:pPr>
                  <w:r w:rsidRPr="0086429D">
                    <w:rPr>
                      <w:rFonts w:ascii="Arial" w:hAnsi="Arial" w:cs="Arial"/>
                    </w:rPr>
                    <w:t>1.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</w:rPr>
                    <w:t>Nome/Name: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RG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/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ID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N</w:t>
                  </w:r>
                  <w:r w:rsidRPr="0086429D">
                    <w:rPr>
                      <w:rFonts w:ascii="Arial" w:hAnsi="Arial" w:cs="Arial"/>
                    </w:rPr>
                    <w:t>o.: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A1B8A" w:rsidRPr="0086429D" w:rsidRDefault="00DA1B8A" w:rsidP="00DA1B8A">
                  <w:pPr>
                    <w:spacing w:before="2" w:after="2"/>
                    <w:contextualSpacing/>
                    <w:rPr>
                      <w:rFonts w:ascii="Arial" w:hAnsi="Arial" w:cs="Arial"/>
                      <w:caps/>
                      <w:lang w:val="pt-PT"/>
                    </w:rPr>
                  </w:pP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B8A" w:rsidRPr="0086429D" w:rsidRDefault="00DA1B8A" w:rsidP="00DA1B8A">
                  <w:pPr>
                    <w:spacing w:before="2" w:after="2"/>
                    <w:contextualSpacing/>
                    <w:rPr>
                      <w:rFonts w:ascii="Arial" w:hAnsi="Arial" w:cs="Arial"/>
                      <w:caps/>
                      <w:lang w:val="pt-PT"/>
                    </w:rPr>
                  </w:pPr>
                </w:p>
              </w:tc>
              <w:tc>
                <w:tcPr>
                  <w:tcW w:w="147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1B8A" w:rsidRPr="0086429D" w:rsidRDefault="00DA1B8A" w:rsidP="00DA1B8A">
                  <w:pPr>
                    <w:spacing w:before="2" w:after="2"/>
                    <w:ind w:left="-57" w:right="-57"/>
                    <w:contextualSpacing/>
                    <w:rPr>
                      <w:rFonts w:ascii="Arial" w:hAnsi="Arial" w:cs="Arial"/>
                      <w:lang w:val="en-US"/>
                    </w:rPr>
                  </w:pPr>
                  <w:r w:rsidRPr="0086429D">
                    <w:rPr>
                      <w:rFonts w:ascii="Arial" w:hAnsi="Arial" w:cs="Arial"/>
                    </w:rPr>
                    <w:t>2.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lang w:val="en-US"/>
                    </w:rPr>
                    <w:t>Nome/Name:</w:t>
                  </w:r>
                </w:p>
                <w:p w:rsidR="00DA1B8A" w:rsidRPr="0086429D" w:rsidRDefault="00DA1B8A" w:rsidP="00DA1B8A">
                  <w:pPr>
                    <w:spacing w:before="2" w:after="2"/>
                    <w:ind w:left="-57" w:right="-57"/>
                    <w:contextualSpacing/>
                    <w:rPr>
                      <w:rFonts w:ascii="Arial" w:hAnsi="Arial" w:cs="Arial"/>
                      <w:caps/>
                      <w:lang w:val="pt-PT"/>
                    </w:rPr>
                  </w:pPr>
                  <w:r w:rsidRPr="0086429D">
                    <w:rPr>
                      <w:rFonts w:ascii="Arial" w:hAnsi="Arial" w:cs="Arial"/>
                      <w:caps/>
                    </w:rPr>
                    <w:t>RG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/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ID</w:t>
                  </w:r>
                  <w:r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86429D">
                    <w:rPr>
                      <w:rFonts w:ascii="Arial" w:hAnsi="Arial" w:cs="Arial"/>
                      <w:caps/>
                    </w:rPr>
                    <w:t>N</w:t>
                  </w:r>
                  <w:r w:rsidRPr="0086429D">
                    <w:rPr>
                      <w:rFonts w:ascii="Arial" w:hAnsi="Arial" w:cs="Arial"/>
                    </w:rPr>
                    <w:t>o.: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A1B8A" w:rsidRPr="0086429D" w:rsidRDefault="00DA1B8A" w:rsidP="00DA1B8A">
                  <w:pPr>
                    <w:spacing w:before="2" w:after="2"/>
                    <w:contextualSpacing/>
                    <w:rPr>
                      <w:rFonts w:ascii="Arial" w:hAnsi="Arial" w:cs="Arial"/>
                      <w:b/>
                      <w:bCs/>
                      <w:caps/>
                      <w:lang w:val="pt-PT"/>
                    </w:rPr>
                  </w:pPr>
                </w:p>
              </w:tc>
            </w:tr>
          </w:tbl>
          <w:p w:rsidR="00DA1B8A" w:rsidRPr="0086429D" w:rsidRDefault="00DA1B8A" w:rsidP="00DA1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6283" w:rsidRPr="00A715DD" w:rsidRDefault="00E56283" w:rsidP="00E56283">
      <w:pPr>
        <w:spacing w:after="0" w:line="360" w:lineRule="auto"/>
        <w:jc w:val="center"/>
        <w:rPr>
          <w:lang w:val="en-US"/>
        </w:rPr>
      </w:pPr>
    </w:p>
    <w:sectPr w:rsidR="00E56283" w:rsidRPr="00A715DD" w:rsidSect="008A2E3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49" w:rsidRDefault="00565B49" w:rsidP="00AD72BC">
      <w:pPr>
        <w:spacing w:after="0" w:line="240" w:lineRule="auto"/>
      </w:pPr>
      <w:r>
        <w:separator/>
      </w:r>
    </w:p>
  </w:endnote>
  <w:endnote w:type="continuationSeparator" w:id="0">
    <w:p w:rsidR="00565B49" w:rsidRDefault="00565B49" w:rsidP="00AD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6491"/>
    </w:tblGrid>
    <w:tr w:rsidR="00565B49" w:rsidTr="00565B49">
      <w:tc>
        <w:tcPr>
          <w:tcW w:w="3245" w:type="dxa"/>
        </w:tcPr>
        <w:p w:rsidR="00565B49" w:rsidRPr="00AD72BC" w:rsidRDefault="00565B49">
          <w:pPr>
            <w:pStyle w:val="Rodap"/>
            <w:rPr>
              <w:rFonts w:ascii="Arial" w:hAnsi="Arial" w:cs="Arial"/>
            </w:rPr>
          </w:pPr>
          <w:r w:rsidRPr="00AD72BC">
            <w:rPr>
              <w:rFonts w:ascii="Arial" w:hAnsi="Arial" w:cs="Arial"/>
              <w:sz w:val="16"/>
            </w:rPr>
            <w:t>V1</w:t>
          </w:r>
        </w:p>
      </w:tc>
      <w:tc>
        <w:tcPr>
          <w:tcW w:w="6491" w:type="dxa"/>
        </w:tcPr>
        <w:p w:rsidR="00565B49" w:rsidRDefault="00565B49" w:rsidP="00AD72BC">
          <w:pPr>
            <w:pStyle w:val="Rodap"/>
            <w:jc w:val="right"/>
          </w:pPr>
          <w:r w:rsidRPr="00AD72BC">
            <w:rPr>
              <w:rFonts w:ascii="Arial" w:hAnsi="Arial" w:cs="Arial"/>
              <w:sz w:val="16"/>
              <w:szCs w:val="16"/>
            </w:rPr>
            <w:fldChar w:fldCharType="begin"/>
          </w:r>
          <w:r w:rsidRPr="00AD72BC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D72BC">
            <w:rPr>
              <w:rFonts w:ascii="Arial" w:hAnsi="Arial" w:cs="Arial"/>
              <w:sz w:val="16"/>
              <w:szCs w:val="16"/>
            </w:rPr>
            <w:fldChar w:fldCharType="separate"/>
          </w:r>
          <w:r w:rsidRPr="00AD72BC">
            <w:rPr>
              <w:rFonts w:ascii="Arial" w:hAnsi="Arial" w:cs="Arial"/>
              <w:noProof/>
              <w:sz w:val="16"/>
              <w:szCs w:val="16"/>
            </w:rPr>
            <w:t>17</w:t>
          </w:r>
          <w:r w:rsidRPr="00AD72BC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D72BC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D72BC">
            <w:rPr>
              <w:rFonts w:ascii="Arial" w:hAnsi="Arial" w:cs="Arial"/>
              <w:sz w:val="16"/>
              <w:szCs w:val="16"/>
            </w:rPr>
            <w:fldChar w:fldCharType="begin"/>
          </w:r>
          <w:r w:rsidRPr="00AD72BC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AD72BC">
            <w:rPr>
              <w:rFonts w:ascii="Arial" w:hAnsi="Arial" w:cs="Arial"/>
              <w:sz w:val="16"/>
              <w:szCs w:val="16"/>
            </w:rPr>
            <w:fldChar w:fldCharType="separate"/>
          </w:r>
          <w:r w:rsidRPr="00AD72BC">
            <w:rPr>
              <w:rFonts w:ascii="Arial" w:hAnsi="Arial" w:cs="Arial"/>
              <w:noProof/>
              <w:sz w:val="16"/>
              <w:szCs w:val="16"/>
            </w:rPr>
            <w:t>17</w:t>
          </w:r>
          <w:r w:rsidRPr="00AD72BC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65B49" w:rsidRDefault="00565B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49" w:rsidRDefault="00565B49" w:rsidP="00AD72BC">
      <w:pPr>
        <w:spacing w:after="0" w:line="240" w:lineRule="auto"/>
      </w:pPr>
      <w:r>
        <w:separator/>
      </w:r>
    </w:p>
  </w:footnote>
  <w:footnote w:type="continuationSeparator" w:id="0">
    <w:p w:rsidR="00565B49" w:rsidRDefault="00565B49" w:rsidP="00AD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505"/>
    <w:multiLevelType w:val="multilevel"/>
    <w:tmpl w:val="35D200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832DC"/>
    <w:multiLevelType w:val="multilevel"/>
    <w:tmpl w:val="5A68B5DA"/>
    <w:lvl w:ilvl="0">
      <w:start w:val="1"/>
      <w:numFmt w:val="decimal"/>
      <w:lvlRestart w:val="0"/>
      <w:pStyle w:val="LegalIndentStyle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pStyle w:val="LegalIndentStyle2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pStyle w:val="LegalIndentStyle3"/>
      <w:lvlText w:val="%1.%2.%3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pStyle w:val="LegalIndentStyle4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Restart w:val="0"/>
      <w:pStyle w:val="LegalIndentStyle5"/>
      <w:lvlText w:val="(%5)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5">
      <w:start w:val="1"/>
      <w:numFmt w:val="lowerRoman"/>
      <w:pStyle w:val="LegalIndentStyle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olor w:val="000000"/>
      </w:rPr>
    </w:lvl>
    <w:lvl w:ilvl="6">
      <w:start w:val="1"/>
      <w:numFmt w:val="lowerRoman"/>
      <w:pStyle w:val="LegalIndentStyle7"/>
      <w:lvlText w:val="(%7)"/>
      <w:lvlJc w:val="left"/>
      <w:pPr>
        <w:tabs>
          <w:tab w:val="num" w:pos="3600"/>
        </w:tabs>
        <w:ind w:left="3600" w:hanging="720"/>
      </w:pPr>
      <w:rPr>
        <w:rFonts w:cs="Times New Roman" w:hint="default"/>
        <w:color w:val="000000"/>
      </w:rPr>
    </w:lvl>
    <w:lvl w:ilvl="7">
      <w:start w:val="1"/>
      <w:numFmt w:val="decimal"/>
      <w:pStyle w:val="LegalIndentStyle8"/>
      <w:lvlText w:val="(%8)"/>
      <w:lvlJc w:val="left"/>
      <w:pPr>
        <w:tabs>
          <w:tab w:val="num" w:pos="4320"/>
        </w:tabs>
        <w:ind w:left="4320" w:hanging="720"/>
      </w:pPr>
      <w:rPr>
        <w:rFonts w:cs="Times New Roman" w:hint="default"/>
        <w:color w:val="000000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0042ED6"/>
    <w:multiLevelType w:val="hybridMultilevel"/>
    <w:tmpl w:val="E2346F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70695"/>
    <w:multiLevelType w:val="hybridMultilevel"/>
    <w:tmpl w:val="00481B8A"/>
    <w:lvl w:ilvl="0" w:tplc="6EB45FA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21B19"/>
    <w:multiLevelType w:val="multilevel"/>
    <w:tmpl w:val="34DE8FF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3B33434"/>
    <w:multiLevelType w:val="hybridMultilevel"/>
    <w:tmpl w:val="68749C3A"/>
    <w:lvl w:ilvl="0" w:tplc="10DE6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67"/>
    <w:multiLevelType w:val="hybridMultilevel"/>
    <w:tmpl w:val="712C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3DF0"/>
    <w:multiLevelType w:val="multilevel"/>
    <w:tmpl w:val="34DE8FF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A750B97"/>
    <w:multiLevelType w:val="multilevel"/>
    <w:tmpl w:val="C72A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9" w15:restartNumberingAfterBreak="0">
    <w:nsid w:val="2E7321CC"/>
    <w:multiLevelType w:val="hybridMultilevel"/>
    <w:tmpl w:val="F8BE3AC0"/>
    <w:lvl w:ilvl="0" w:tplc="3F9477D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0445D"/>
    <w:multiLevelType w:val="hybridMultilevel"/>
    <w:tmpl w:val="1F08DDFA"/>
    <w:lvl w:ilvl="0" w:tplc="43E4D6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5668E"/>
    <w:multiLevelType w:val="multilevel"/>
    <w:tmpl w:val="C72688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331E23"/>
    <w:multiLevelType w:val="hybridMultilevel"/>
    <w:tmpl w:val="6E04FC7C"/>
    <w:lvl w:ilvl="0" w:tplc="A7447E72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4CDE36F1"/>
    <w:multiLevelType w:val="hybridMultilevel"/>
    <w:tmpl w:val="7E0AD94C"/>
    <w:lvl w:ilvl="0" w:tplc="D4F8DC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1131EF9"/>
    <w:multiLevelType w:val="multilevel"/>
    <w:tmpl w:val="34DE8FF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476F4E"/>
    <w:multiLevelType w:val="hybridMultilevel"/>
    <w:tmpl w:val="FCD2B70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5EE6364"/>
    <w:multiLevelType w:val="hybridMultilevel"/>
    <w:tmpl w:val="68749C3A"/>
    <w:lvl w:ilvl="0" w:tplc="10DE6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192"/>
    <w:multiLevelType w:val="multilevel"/>
    <w:tmpl w:val="269475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532B7A"/>
    <w:multiLevelType w:val="multilevel"/>
    <w:tmpl w:val="5CF46B6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9" w:hanging="46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9" w15:restartNumberingAfterBreak="0">
    <w:nsid w:val="5FBC02D1"/>
    <w:multiLevelType w:val="multilevel"/>
    <w:tmpl w:val="1D5E15F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78395C"/>
    <w:multiLevelType w:val="multilevel"/>
    <w:tmpl w:val="D5F2517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77D70B3"/>
    <w:multiLevelType w:val="multilevel"/>
    <w:tmpl w:val="FD6EF2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441345"/>
    <w:multiLevelType w:val="hybridMultilevel"/>
    <w:tmpl w:val="4CD6432E"/>
    <w:lvl w:ilvl="0" w:tplc="67E67EF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03900F7"/>
    <w:multiLevelType w:val="multilevel"/>
    <w:tmpl w:val="7FA0BE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71E40F58"/>
    <w:multiLevelType w:val="hybridMultilevel"/>
    <w:tmpl w:val="F52C3346"/>
    <w:lvl w:ilvl="0" w:tplc="5F2CA682">
      <w:start w:val="1"/>
      <w:numFmt w:val="lowerLetter"/>
      <w:lvlText w:val="%1)"/>
      <w:lvlJc w:val="left"/>
      <w:pPr>
        <w:tabs>
          <w:tab w:val="num" w:pos="-6"/>
        </w:tabs>
        <w:ind w:left="357" w:hanging="363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67764C"/>
    <w:multiLevelType w:val="hybridMultilevel"/>
    <w:tmpl w:val="359028E8"/>
    <w:lvl w:ilvl="0" w:tplc="CDF2642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B3C4A"/>
    <w:multiLevelType w:val="hybridMultilevel"/>
    <w:tmpl w:val="FB80F594"/>
    <w:lvl w:ilvl="0" w:tplc="65E2FDE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6B033B"/>
    <w:multiLevelType w:val="multilevel"/>
    <w:tmpl w:val="EEF6DF1E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D382A00"/>
    <w:multiLevelType w:val="multilevel"/>
    <w:tmpl w:val="A402726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DB268A4"/>
    <w:multiLevelType w:val="multilevel"/>
    <w:tmpl w:val="34DE8FF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2"/>
  </w:num>
  <w:num w:numId="5">
    <w:abstractNumId w:val="24"/>
  </w:num>
  <w:num w:numId="6">
    <w:abstractNumId w:val="4"/>
  </w:num>
  <w:num w:numId="7">
    <w:abstractNumId w:val="7"/>
  </w:num>
  <w:num w:numId="8">
    <w:abstractNumId w:val="14"/>
  </w:num>
  <w:num w:numId="9">
    <w:abstractNumId w:val="25"/>
  </w:num>
  <w:num w:numId="10">
    <w:abstractNumId w:val="21"/>
  </w:num>
  <w:num w:numId="11">
    <w:abstractNumId w:val="0"/>
  </w:num>
  <w:num w:numId="12">
    <w:abstractNumId w:val="29"/>
  </w:num>
  <w:num w:numId="13">
    <w:abstractNumId w:val="1"/>
  </w:num>
  <w:num w:numId="14">
    <w:abstractNumId w:val="26"/>
  </w:num>
  <w:num w:numId="15">
    <w:abstractNumId w:val="2"/>
  </w:num>
  <w:num w:numId="16">
    <w:abstractNumId w:val="10"/>
  </w:num>
  <w:num w:numId="17">
    <w:abstractNumId w:val="9"/>
  </w:num>
  <w:num w:numId="18">
    <w:abstractNumId w:val="16"/>
  </w:num>
  <w:num w:numId="19">
    <w:abstractNumId w:val="23"/>
  </w:num>
  <w:num w:numId="20">
    <w:abstractNumId w:val="5"/>
  </w:num>
  <w:num w:numId="21">
    <w:abstractNumId w:val="11"/>
  </w:num>
  <w:num w:numId="22">
    <w:abstractNumId w:val="6"/>
  </w:num>
  <w:num w:numId="23">
    <w:abstractNumId w:val="27"/>
  </w:num>
  <w:num w:numId="24">
    <w:abstractNumId w:val="20"/>
  </w:num>
  <w:num w:numId="25">
    <w:abstractNumId w:val="18"/>
  </w:num>
  <w:num w:numId="26">
    <w:abstractNumId w:val="19"/>
  </w:num>
  <w:num w:numId="27">
    <w:abstractNumId w:val="3"/>
  </w:num>
  <w:num w:numId="28">
    <w:abstractNumId w:val="28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HxdamA8/ShSiTJaMdprLiJ4hdDPgdcOZXZaaYtfArdT6+A3vE6yJ2bKiIVw+JrSLk+25mhSRjv5WDXQkiWKZIw==" w:salt="4xQt0zTBgRQgdjSMkDRr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DD"/>
    <w:rsid w:val="00065649"/>
    <w:rsid w:val="00082D18"/>
    <w:rsid w:val="00137A86"/>
    <w:rsid w:val="00145EF8"/>
    <w:rsid w:val="00186164"/>
    <w:rsid w:val="00197B89"/>
    <w:rsid w:val="001F562C"/>
    <w:rsid w:val="00231B53"/>
    <w:rsid w:val="002A5A2D"/>
    <w:rsid w:val="002F6935"/>
    <w:rsid w:val="00305C36"/>
    <w:rsid w:val="00332C7D"/>
    <w:rsid w:val="00371BFD"/>
    <w:rsid w:val="00371FC0"/>
    <w:rsid w:val="00386A7B"/>
    <w:rsid w:val="003C6E6C"/>
    <w:rsid w:val="004A1542"/>
    <w:rsid w:val="004A78C3"/>
    <w:rsid w:val="004B1296"/>
    <w:rsid w:val="00565B49"/>
    <w:rsid w:val="00583CE4"/>
    <w:rsid w:val="00653F59"/>
    <w:rsid w:val="00756B9D"/>
    <w:rsid w:val="007F7D69"/>
    <w:rsid w:val="008444E1"/>
    <w:rsid w:val="008A2E34"/>
    <w:rsid w:val="008B45E0"/>
    <w:rsid w:val="009D3D10"/>
    <w:rsid w:val="00A008BC"/>
    <w:rsid w:val="00A634F8"/>
    <w:rsid w:val="00A715DD"/>
    <w:rsid w:val="00A8060A"/>
    <w:rsid w:val="00AD72BC"/>
    <w:rsid w:val="00AF2913"/>
    <w:rsid w:val="00BB0945"/>
    <w:rsid w:val="00C1667B"/>
    <w:rsid w:val="00C6003A"/>
    <w:rsid w:val="00C651F5"/>
    <w:rsid w:val="00C87116"/>
    <w:rsid w:val="00CB34DA"/>
    <w:rsid w:val="00CB6E2D"/>
    <w:rsid w:val="00CF6E79"/>
    <w:rsid w:val="00D236C7"/>
    <w:rsid w:val="00DA1B8A"/>
    <w:rsid w:val="00E56283"/>
    <w:rsid w:val="00E93E45"/>
    <w:rsid w:val="00EB1B44"/>
    <w:rsid w:val="00EF68E4"/>
    <w:rsid w:val="00F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FBCBB-7345-4E54-9262-69F849E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A715DD"/>
  </w:style>
  <w:style w:type="paragraph" w:customStyle="1" w:styleId="LegalIndentStyle1">
    <w:name w:val="LegalIndentStyle1"/>
    <w:basedOn w:val="Normal"/>
    <w:rsid w:val="00A715DD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SimSun" w:hAnsi="Times New Roman" w:cs="Times New Roman"/>
      <w:b/>
      <w:bCs/>
      <w:caps/>
      <w:color w:val="000000"/>
      <w:sz w:val="24"/>
      <w:szCs w:val="24"/>
      <w:lang w:val="en-US"/>
    </w:rPr>
  </w:style>
  <w:style w:type="paragraph" w:customStyle="1" w:styleId="LegalIndentStyle2">
    <w:name w:val="LegalIndentStyle2"/>
    <w:basedOn w:val="Normal"/>
    <w:rsid w:val="00A715DD"/>
    <w:pPr>
      <w:numPr>
        <w:ilvl w:val="1"/>
        <w:numId w:val="13"/>
      </w:numPr>
      <w:spacing w:before="240" w:after="240" w:line="240" w:lineRule="auto"/>
      <w:jc w:val="both"/>
      <w:outlineLvl w:val="1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LegalIndentStyle3">
    <w:name w:val="LegalIndentStyle3"/>
    <w:basedOn w:val="Normal"/>
    <w:rsid w:val="00A715DD"/>
    <w:pPr>
      <w:numPr>
        <w:ilvl w:val="2"/>
        <w:numId w:val="13"/>
      </w:numPr>
      <w:spacing w:before="240" w:after="240" w:line="240" w:lineRule="auto"/>
      <w:jc w:val="both"/>
      <w:outlineLvl w:val="2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LegalIndentStyle4">
    <w:name w:val="LegalIndentStyle4"/>
    <w:basedOn w:val="Normal"/>
    <w:rsid w:val="00A715DD"/>
    <w:pPr>
      <w:numPr>
        <w:ilvl w:val="3"/>
        <w:numId w:val="13"/>
      </w:numPr>
      <w:spacing w:before="240" w:after="240" w:line="240" w:lineRule="auto"/>
      <w:jc w:val="both"/>
      <w:outlineLvl w:val="3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LegalIndentStyle5">
    <w:name w:val="LegalIndentStyle5"/>
    <w:basedOn w:val="Normal"/>
    <w:rsid w:val="00A715DD"/>
    <w:pPr>
      <w:numPr>
        <w:ilvl w:val="4"/>
        <w:numId w:val="13"/>
      </w:numPr>
      <w:spacing w:before="240" w:after="240" w:line="240" w:lineRule="auto"/>
      <w:jc w:val="both"/>
      <w:outlineLvl w:val="4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LegalIndentStyle6">
    <w:name w:val="LegalIndentStyle6"/>
    <w:basedOn w:val="Normal"/>
    <w:rsid w:val="00A715DD"/>
    <w:pPr>
      <w:numPr>
        <w:ilvl w:val="5"/>
        <w:numId w:val="13"/>
      </w:numPr>
      <w:spacing w:before="240" w:after="240" w:line="240" w:lineRule="auto"/>
      <w:jc w:val="both"/>
      <w:outlineLvl w:val="5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LegalIndentStyle7">
    <w:name w:val="LegalIndentStyle7"/>
    <w:basedOn w:val="Normal"/>
    <w:rsid w:val="00A715DD"/>
    <w:pPr>
      <w:numPr>
        <w:ilvl w:val="6"/>
        <w:numId w:val="13"/>
      </w:numPr>
      <w:spacing w:before="240" w:after="240" w:line="240" w:lineRule="auto"/>
      <w:jc w:val="both"/>
      <w:outlineLvl w:val="6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LegalIndentStyle8">
    <w:name w:val="LegalIndentStyle8"/>
    <w:basedOn w:val="Normal"/>
    <w:rsid w:val="00A715DD"/>
    <w:pPr>
      <w:numPr>
        <w:ilvl w:val="7"/>
        <w:numId w:val="13"/>
      </w:numPr>
      <w:spacing w:before="240" w:after="240" w:line="240" w:lineRule="auto"/>
      <w:jc w:val="both"/>
      <w:outlineLvl w:val="7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semiHidden/>
    <w:rsid w:val="00A715D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A715DD"/>
    <w:rPr>
      <w:rFonts w:ascii="Tahoma" w:eastAsia="Times New Roman" w:hAnsi="Tahoma" w:cs="Tahoma"/>
      <w:sz w:val="16"/>
      <w:szCs w:val="16"/>
      <w:lang w:eastAsia="en-US"/>
    </w:rPr>
  </w:style>
  <w:style w:type="character" w:styleId="Refdecomentrio">
    <w:name w:val="annotation reference"/>
    <w:rsid w:val="00A715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715D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A715DD"/>
    <w:rPr>
      <w:rFonts w:ascii="Calibri" w:eastAsia="Times New Roman" w:hAnsi="Calibri"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A715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715D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rsid w:val="00A715D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A715DD"/>
    <w:rPr>
      <w:rFonts w:ascii="Calibri" w:eastAsia="Times New Roman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A715D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715DD"/>
    <w:rPr>
      <w:rFonts w:ascii="Calibri" w:eastAsia="Times New Roman" w:hAnsi="Calibri" w:cs="Times New Roman"/>
      <w:lang w:eastAsia="en-US"/>
    </w:rPr>
  </w:style>
  <w:style w:type="character" w:styleId="Nmerodepgina">
    <w:name w:val="page number"/>
    <w:basedOn w:val="Fontepargpadro"/>
    <w:rsid w:val="00A715DD"/>
  </w:style>
  <w:style w:type="paragraph" w:styleId="PargrafodaLista">
    <w:name w:val="List Paragraph"/>
    <w:basedOn w:val="Normal"/>
    <w:uiPriority w:val="34"/>
    <w:qFormat/>
    <w:rsid w:val="00A715DD"/>
    <w:pPr>
      <w:ind w:left="708"/>
    </w:pPr>
    <w:rPr>
      <w:rFonts w:ascii="Calibri" w:eastAsia="Times New Roman" w:hAnsi="Calibri" w:cs="Times New Roman"/>
      <w:lang w:eastAsia="en-US"/>
    </w:rPr>
  </w:style>
  <w:style w:type="character" w:customStyle="1" w:styleId="CharacterStyle1">
    <w:name w:val="Character Style 1"/>
    <w:rsid w:val="00A715DD"/>
    <w:rPr>
      <w:sz w:val="20"/>
      <w:szCs w:val="20"/>
    </w:rPr>
  </w:style>
  <w:style w:type="paragraph" w:styleId="Reviso">
    <w:name w:val="Revision"/>
    <w:hidden/>
    <w:uiPriority w:val="99"/>
    <w:semiHidden/>
    <w:rsid w:val="00A715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Corpodetexto">
    <w:name w:val="Body Text"/>
    <w:basedOn w:val="Normal"/>
    <w:link w:val="CorpodetextoChar"/>
    <w:rsid w:val="00A715DD"/>
    <w:pPr>
      <w:spacing w:after="0" w:line="240" w:lineRule="auto"/>
      <w:ind w:right="141"/>
      <w:jc w:val="both"/>
    </w:pPr>
    <w:rPr>
      <w:rFonts w:ascii="Arial" w:eastAsia="Times New Roman" w:hAnsi="Arial" w:cs="Times New Roman"/>
      <w:color w:val="000000"/>
      <w:sz w:val="20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A715DD"/>
    <w:rPr>
      <w:rFonts w:ascii="Arial" w:eastAsia="Times New Roman" w:hAnsi="Arial" w:cs="Times New Roman"/>
      <w:color w:val="000000"/>
      <w:sz w:val="20"/>
      <w:szCs w:val="20"/>
      <w:lang w:val="pt-PT" w:eastAsia="pt-BR"/>
    </w:rPr>
  </w:style>
  <w:style w:type="character" w:customStyle="1" w:styleId="apple-converted-space">
    <w:name w:val="apple-converted-space"/>
    <w:rsid w:val="00A715D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15D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15DD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A715DD"/>
    <w:rPr>
      <w:color w:val="0563C1"/>
      <w:u w:val="single"/>
    </w:rPr>
  </w:style>
  <w:style w:type="character" w:customStyle="1" w:styleId="Meno1">
    <w:name w:val="Menção1"/>
    <w:uiPriority w:val="99"/>
    <w:semiHidden/>
    <w:unhideWhenUsed/>
    <w:rsid w:val="00A715DD"/>
    <w:rPr>
      <w:color w:val="2B579A"/>
      <w:shd w:val="clear" w:color="auto" w:fill="E6E6E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715D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715DD"/>
    <w:rPr>
      <w:rFonts w:ascii="Calibri" w:eastAsia="Calibri" w:hAnsi="Calibri" w:cs="Times New Roman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2E34"/>
    <w:rPr>
      <w:color w:val="954F72"/>
      <w:u w:val="single"/>
    </w:rPr>
  </w:style>
  <w:style w:type="paragraph" w:customStyle="1" w:styleId="msonormal0">
    <w:name w:val="msonormal"/>
    <w:basedOn w:val="Normal"/>
    <w:rsid w:val="008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pt-BR"/>
    </w:rPr>
  </w:style>
  <w:style w:type="paragraph" w:customStyle="1" w:styleId="font6">
    <w:name w:val="font6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pt-BR"/>
    </w:rPr>
  </w:style>
  <w:style w:type="paragraph" w:customStyle="1" w:styleId="font7">
    <w:name w:val="font7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t-BR"/>
    </w:rPr>
  </w:style>
  <w:style w:type="paragraph" w:customStyle="1" w:styleId="font8">
    <w:name w:val="font8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t-BR"/>
    </w:rPr>
  </w:style>
  <w:style w:type="paragraph" w:customStyle="1" w:styleId="font9">
    <w:name w:val="font9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0">
    <w:name w:val="font10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1">
    <w:name w:val="font11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8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t-BR"/>
    </w:rPr>
  </w:style>
  <w:style w:type="paragraph" w:customStyle="1" w:styleId="font13">
    <w:name w:val="font13"/>
    <w:basedOn w:val="Normal"/>
    <w:rsid w:val="008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t-BR"/>
    </w:rPr>
  </w:style>
  <w:style w:type="paragraph" w:customStyle="1" w:styleId="font14">
    <w:name w:val="font14"/>
    <w:basedOn w:val="Normal"/>
    <w:rsid w:val="008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t-BR"/>
    </w:rPr>
  </w:style>
  <w:style w:type="paragraph" w:customStyle="1" w:styleId="font15">
    <w:name w:val="font15"/>
    <w:basedOn w:val="Normal"/>
    <w:rsid w:val="008A2E3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6">
    <w:name w:val="font16"/>
    <w:basedOn w:val="Normal"/>
    <w:rsid w:val="008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t-BR"/>
    </w:rPr>
  </w:style>
  <w:style w:type="paragraph" w:customStyle="1" w:styleId="xl65">
    <w:name w:val="xl65"/>
    <w:basedOn w:val="Normal"/>
    <w:rsid w:val="008A2E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A2E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pt-BR"/>
    </w:rPr>
  </w:style>
  <w:style w:type="paragraph" w:customStyle="1" w:styleId="xl74">
    <w:name w:val="xl74"/>
    <w:basedOn w:val="Normal"/>
    <w:rsid w:val="008A2E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8A2E3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8A2E3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8A2E3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8A2E3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8A2E3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8A2E3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pt-BR"/>
    </w:rPr>
  </w:style>
  <w:style w:type="paragraph" w:customStyle="1" w:styleId="xl81">
    <w:name w:val="xl81"/>
    <w:basedOn w:val="Normal"/>
    <w:rsid w:val="008A2E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82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mfsolution@b3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mfsolution@b3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11819</Words>
  <Characters>63827</Characters>
  <Application>Microsoft Office Word</Application>
  <DocSecurity>0</DocSecurity>
  <Lines>531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BVM&amp;F</Company>
  <LinksUpToDate>false</LinksUpToDate>
  <CharactersWithSpaces>75496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Costa De Camargo</dc:creator>
  <cp:lastModifiedBy>Alessandro Lima da Silva</cp:lastModifiedBy>
  <cp:revision>11</cp:revision>
  <cp:lastPrinted>2018-07-20T22:06:00Z</cp:lastPrinted>
  <dcterms:created xsi:type="dcterms:W3CDTF">2018-07-23T16:38:00Z</dcterms:created>
  <dcterms:modified xsi:type="dcterms:W3CDTF">2018-11-16T18:44:00Z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