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306" w14:textId="77777777" w:rsidR="00527457" w:rsidRPr="006117A7" w:rsidRDefault="00527457" w:rsidP="00527457">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2CE2FBED" w14:textId="77777777" w:rsidR="00527457" w:rsidRPr="004357E2" w:rsidRDefault="00527457" w:rsidP="00527457">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1AE786CC" w14:textId="77777777" w:rsidR="00527457" w:rsidRPr="00C5315C" w:rsidRDefault="00527457" w:rsidP="00527457">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 xml:space="preserve">Market </w:t>
            </w:r>
            <w:proofErr w:type="spellStart"/>
            <w:r w:rsidRPr="00C5315C">
              <w:rPr>
                <w:rFonts w:cs="Arial"/>
                <w:i/>
                <w:sz w:val="24"/>
                <w:szCs w:val="24"/>
              </w:rPr>
              <w:t>Maker</w:t>
            </w:r>
            <w:proofErr w:type="spellEnd"/>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proofErr w:type="spellStart"/>
            <w:r w:rsidRPr="00C5315C">
              <w:rPr>
                <w:rFonts w:cs="Arial"/>
                <w:i/>
                <w:sz w:val="24"/>
                <w:szCs w:val="24"/>
              </w:rPr>
              <w:t>Intermediary</w:t>
            </w:r>
            <w:proofErr w:type="spellEnd"/>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 xml:space="preserve">Clearing </w:t>
            </w:r>
            <w:proofErr w:type="spellStart"/>
            <w:r w:rsidRPr="00C5315C">
              <w:rPr>
                <w:rFonts w:cs="Arial"/>
                <w:i/>
                <w:sz w:val="24"/>
                <w:szCs w:val="24"/>
              </w:rPr>
              <w:t>Member</w:t>
            </w:r>
            <w:proofErr w:type="spellEnd"/>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 xml:space="preserve">Circular </w:t>
            </w:r>
            <w:proofErr w:type="spellStart"/>
            <w:r w:rsidRPr="003D1156">
              <w:rPr>
                <w:rFonts w:cs="Arial"/>
                <w:i/>
                <w:sz w:val="24"/>
              </w:rPr>
              <w:t>Letter</w:t>
            </w:r>
            <w:proofErr w:type="spellEnd"/>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 xml:space="preserve">Start </w:t>
            </w:r>
            <w:proofErr w:type="spellStart"/>
            <w:r w:rsidRPr="003D1156">
              <w:rPr>
                <w:rFonts w:cs="Arial"/>
                <w:i/>
                <w:sz w:val="24"/>
                <w:szCs w:val="24"/>
              </w:rPr>
              <w:t>of</w:t>
            </w:r>
            <w:proofErr w:type="spellEnd"/>
            <w:r w:rsidRPr="003D1156">
              <w:rPr>
                <w:rFonts w:cs="Arial"/>
                <w:i/>
                <w:sz w:val="24"/>
                <w:szCs w:val="24"/>
              </w:rPr>
              <w:t xml:space="preserve"> </w:t>
            </w:r>
            <w:proofErr w:type="spellStart"/>
            <w:r w:rsidRPr="003D1156">
              <w:rPr>
                <w:rFonts w:cs="Arial"/>
                <w:i/>
                <w:sz w:val="24"/>
                <w:szCs w:val="24"/>
              </w:rPr>
              <w:t>Activity</w:t>
            </w:r>
            <w:proofErr w:type="spellEnd"/>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proofErr w:type="spellStart"/>
            <w:r w:rsidRPr="003D1156">
              <w:rPr>
                <w:rFonts w:cs="Arial"/>
                <w:i/>
                <w:sz w:val="24"/>
                <w:szCs w:val="24"/>
              </w:rPr>
              <w:t>End</w:t>
            </w:r>
            <w:proofErr w:type="spellEnd"/>
            <w:r w:rsidRPr="003D1156">
              <w:rPr>
                <w:rFonts w:cs="Arial"/>
                <w:i/>
                <w:sz w:val="24"/>
                <w:szCs w:val="24"/>
              </w:rPr>
              <w:t xml:space="preserve"> </w:t>
            </w:r>
            <w:proofErr w:type="spellStart"/>
            <w:r w:rsidRPr="003D1156">
              <w:rPr>
                <w:rFonts w:cs="Arial"/>
                <w:i/>
                <w:sz w:val="24"/>
                <w:szCs w:val="24"/>
              </w:rPr>
              <w:t>of</w:t>
            </w:r>
            <w:proofErr w:type="spellEnd"/>
            <w:r w:rsidRPr="003D1156">
              <w:rPr>
                <w:rFonts w:cs="Arial"/>
                <w:i/>
                <w:sz w:val="24"/>
                <w:szCs w:val="24"/>
              </w:rPr>
              <w:t xml:space="preserve"> Link</w:t>
            </w:r>
          </w:p>
        </w:tc>
      </w:tr>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490DE8"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77777777"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 xml:space="preserve">Cash </w:t>
            </w:r>
            <w:proofErr w:type="spellStart"/>
            <w:r>
              <w:rPr>
                <w:rFonts w:cs="Arial"/>
                <w:b/>
                <w:sz w:val="24"/>
                <w:szCs w:val="24"/>
              </w:rPr>
              <w:t>Equities</w:t>
            </w:r>
            <w:proofErr w:type="spellEnd"/>
          </w:p>
          <w:p w14:paraId="05598781" w14:textId="77777777"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490DE8" w14:paraId="29290D5B" w14:textId="77777777" w:rsidTr="003B12E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60C19DE7"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7ED38C4B"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14BA103C" w14:textId="77777777" w:rsidR="00287A0A" w:rsidRPr="00A767E8" w:rsidRDefault="00287A0A" w:rsidP="003B12E5">
            <w:pPr>
              <w:pStyle w:val="PargrafodaLista"/>
              <w:rPr>
                <w:rFonts w:asciiTheme="minorHAnsi" w:eastAsiaTheme="minorHAnsi" w:hAnsiTheme="minorHAnsi" w:cstheme="minorHAnsi"/>
              </w:rPr>
            </w:pPr>
          </w:p>
          <w:p w14:paraId="410D925B" w14:textId="77777777" w:rsidR="00287A0A" w:rsidRPr="00A767E8" w:rsidRDefault="00287A0A"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Caberá às Partes decidirem como se dará a prestação dos serviços descritos neste Termo de </w:t>
            </w:r>
            <w:r w:rsidRPr="00A767E8">
              <w:rPr>
                <w:rFonts w:asciiTheme="minorHAnsi" w:eastAsiaTheme="minorHAnsi" w:hAnsiTheme="minorHAnsi" w:cstheme="minorHAnsi"/>
              </w:rPr>
              <w:lastRenderedPageBreak/>
              <w:t>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9D009E7"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D18E032"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E5DD2FA"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073A18E"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F098B3F"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C2FAE60"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4C418572" w14:textId="77777777" w:rsidR="00287A0A" w:rsidRPr="00A767E8" w:rsidRDefault="00287A0A" w:rsidP="003B12E5">
            <w:pPr>
              <w:pStyle w:val="PargrafodaLista"/>
              <w:tabs>
                <w:tab w:val="left" w:pos="0"/>
                <w:tab w:val="left" w:pos="567"/>
              </w:tabs>
              <w:spacing w:after="60" w:line="240" w:lineRule="atLeast"/>
              <w:ind w:left="142"/>
              <w:rPr>
                <w:rFonts w:asciiTheme="minorHAnsi" w:eastAsiaTheme="minorHAnsi" w:hAnsiTheme="minorHAnsi" w:cstheme="minorHAnsi"/>
              </w:rPr>
            </w:pPr>
          </w:p>
          <w:p w14:paraId="08A947E6"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61380218" w14:textId="77777777" w:rsidR="00287A0A" w:rsidRPr="00A767E8" w:rsidRDefault="00287A0A" w:rsidP="003B12E5">
            <w:pPr>
              <w:pStyle w:val="PargrafodaLista"/>
              <w:ind w:left="142"/>
              <w:rPr>
                <w:rFonts w:asciiTheme="minorHAnsi" w:eastAsiaTheme="minorHAnsi" w:hAnsiTheme="minorHAnsi" w:cstheme="minorHAnsi"/>
              </w:rPr>
            </w:pPr>
          </w:p>
          <w:p w14:paraId="3CB52DC2" w14:textId="77777777" w:rsidR="00287A0A" w:rsidRPr="00A767E8" w:rsidRDefault="00287A0A" w:rsidP="003B12E5">
            <w:pPr>
              <w:pStyle w:val="PargrafodaLista"/>
              <w:ind w:left="142"/>
              <w:rPr>
                <w:rFonts w:asciiTheme="minorHAnsi" w:eastAsiaTheme="minorHAnsi" w:hAnsiTheme="minorHAnsi" w:cstheme="minorHAnsi"/>
              </w:rPr>
            </w:pPr>
          </w:p>
          <w:p w14:paraId="0DA9398E" w14:textId="77777777" w:rsidR="00287A0A" w:rsidRPr="00A767E8" w:rsidRDefault="00287A0A" w:rsidP="003B12E5">
            <w:pPr>
              <w:pStyle w:val="PargrafodaLista"/>
              <w:spacing w:after="240"/>
              <w:ind w:left="142"/>
              <w:rPr>
                <w:rFonts w:asciiTheme="minorHAnsi" w:eastAsiaTheme="minorHAnsi" w:hAnsiTheme="minorHAnsi"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w:t>
            </w:r>
            <w:r w:rsidRPr="00A767E8">
              <w:rPr>
                <w:rFonts w:asciiTheme="minorHAnsi" w:eastAsiaTheme="minorHAnsi" w:hAnsiTheme="minorHAnsi" w:cstheme="minorHAnsi"/>
              </w:rPr>
              <w:lastRenderedPageBreak/>
              <w:t xml:space="preserve">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4D4277CF"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w:t>
            </w:r>
            <w:proofErr w:type="spellStart"/>
            <w:r w:rsidRPr="00A767E8">
              <w:rPr>
                <w:rFonts w:asciiTheme="minorHAnsi" w:eastAsiaTheme="minorHAnsi" w:hAnsiTheme="minorHAnsi" w:cstheme="minorHAnsi"/>
              </w:rPr>
              <w:t>ii</w:t>
            </w:r>
            <w:proofErr w:type="spellEnd"/>
            <w:r w:rsidRPr="00A767E8">
              <w:rPr>
                <w:rFonts w:asciiTheme="minorHAnsi" w:eastAsiaTheme="minorHAnsi" w:hAnsiTheme="minorHAnsi" w:cstheme="minorHAnsi"/>
              </w:rPr>
              <w:t>) atesta que possui as autorizações regulatórias e os requisitos técnico-operacionais exigidos para o desempenho das atividades como Formador de Mercado; (</w:t>
            </w:r>
            <w:proofErr w:type="spellStart"/>
            <w:r w:rsidRPr="00A767E8">
              <w:rPr>
                <w:rFonts w:asciiTheme="minorHAnsi" w:eastAsiaTheme="minorHAnsi" w:hAnsiTheme="minorHAnsi" w:cstheme="minorHAnsi"/>
              </w:rPr>
              <w:t>iii</w:t>
            </w:r>
            <w:proofErr w:type="spellEnd"/>
            <w:r w:rsidRPr="00A767E8">
              <w:rPr>
                <w:rFonts w:asciiTheme="minorHAnsi" w:eastAsiaTheme="minorHAnsi" w:hAnsiTheme="minorHAnsi" w:cstheme="minorHAnsi"/>
              </w:rPr>
              <w:t>) se obriga cumprir todas as exigências previstas no Ofício Circular e na regulamentação aplicável</w:t>
            </w:r>
            <w:r w:rsidR="009B7C7C" w:rsidRPr="0035500E">
              <w:rPr>
                <w:rFonts w:asciiTheme="minorHAnsi" w:eastAsiaTheme="minorHAnsi" w:hAnsiTheme="minorHAnsi" w:cstheme="minorHAnsi"/>
              </w:rPr>
              <w:t xml:space="preserve">; </w:t>
            </w:r>
            <w:r w:rsidR="009B7C7C">
              <w:rPr>
                <w:rFonts w:asciiTheme="minorHAnsi" w:eastAsiaTheme="minorHAnsi" w:hAnsiTheme="minorHAnsi" w:cstheme="minorHAnsi"/>
              </w:rPr>
              <w:t>(</w:t>
            </w:r>
            <w:proofErr w:type="spellStart"/>
            <w:r w:rsidR="009B7C7C">
              <w:rPr>
                <w:rFonts w:asciiTheme="minorHAnsi" w:eastAsiaTheme="minorHAnsi" w:hAnsiTheme="minorHAnsi" w:cstheme="minorHAnsi"/>
              </w:rPr>
              <w:t>iv</w:t>
            </w:r>
            <w:proofErr w:type="spellEnd"/>
            <w:r w:rsidR="009B7C7C">
              <w:rPr>
                <w:rFonts w:asciiTheme="minorHAnsi" w:eastAsiaTheme="minorHAnsi" w:hAnsiTheme="minorHAnsi" w:cstheme="minorHAnsi"/>
              </w:rPr>
              <w:t xml:space="preserve">) </w:t>
            </w:r>
            <w:r w:rsidR="009B7C7C" w:rsidRPr="00662FE5">
              <w:rPr>
                <w:rFonts w:asciiTheme="minorHAnsi" w:eastAsiaTheme="minorHAnsi" w:hAnsiTheme="minorHAnsi" w:cstheme="minorHAnsi"/>
              </w:rPr>
              <w:t>declara e reconhece</w:t>
            </w:r>
            <w:r w:rsidR="009B7C7C" w:rsidRPr="0035500E">
              <w:rPr>
                <w:rFonts w:asciiTheme="minorHAnsi" w:hAnsiTheme="minorHAnsi" w:cstheme="minorHAnsi"/>
              </w:rPr>
              <w:t xml:space="preserve"> que</w:t>
            </w:r>
            <w:r w:rsidR="009B7C7C">
              <w:rPr>
                <w:rFonts w:asciiTheme="minorHAnsi" w:hAnsiTheme="minorHAnsi" w:cstheme="minorHAnsi"/>
              </w:rPr>
              <w:t xml:space="preserve"> (a)</w:t>
            </w:r>
            <w:r w:rsidR="009B7C7C" w:rsidRPr="0035500E">
              <w:rPr>
                <w:rFonts w:asciiTheme="minorHAnsi" w:hAnsiTheme="minorHAnsi" w:cstheme="minorHAnsi"/>
              </w:rPr>
              <w:t xml:space="preserve"> não houve nenhuma alteração material na </w:t>
            </w:r>
            <w:r w:rsidR="009B7C7C">
              <w:rPr>
                <w:rFonts w:asciiTheme="minorHAnsi" w:hAnsiTheme="minorHAnsi" w:cstheme="minorHAnsi"/>
              </w:rPr>
              <w:t>d</w:t>
            </w:r>
            <w:r w:rsidR="009B7C7C" w:rsidRPr="0035500E">
              <w:rPr>
                <w:rFonts w:asciiTheme="minorHAnsi" w:hAnsiTheme="minorHAnsi" w:cstheme="minorHAnsi"/>
              </w:rPr>
              <w:t xml:space="preserve">ocumentação </w:t>
            </w:r>
            <w:r w:rsidR="009B7C7C">
              <w:rPr>
                <w:rFonts w:asciiTheme="minorHAnsi" w:hAnsiTheme="minorHAnsi" w:cstheme="minorHAnsi"/>
              </w:rPr>
              <w:t>n</w:t>
            </w:r>
            <w:r w:rsidR="009B7C7C" w:rsidRPr="0035500E">
              <w:rPr>
                <w:rFonts w:asciiTheme="minorHAnsi" w:hAnsiTheme="minorHAnsi" w:cstheme="minorHAnsi"/>
              </w:rPr>
              <w:t xml:space="preserve">ecessária apresentada no processo de seleção de formador de mercado realizado pela B3 em data anterior à do </w:t>
            </w:r>
            <w:r w:rsidR="009B7C7C" w:rsidRPr="0035500E">
              <w:rPr>
                <w:rFonts w:asciiTheme="minorHAnsi" w:hAnsiTheme="minorHAnsi" w:cstheme="minorHAnsi"/>
                <w:bCs/>
              </w:rPr>
              <w:t>Ofício Circular</w:t>
            </w:r>
            <w:r w:rsidR="009B7C7C">
              <w:rPr>
                <w:rFonts w:asciiTheme="minorHAnsi" w:hAnsiTheme="minorHAnsi" w:cstheme="minorHAnsi"/>
                <w:bCs/>
              </w:rPr>
              <w:t xml:space="preserve"> (</w:t>
            </w:r>
            <w:r w:rsidR="009B7C7C" w:rsidRPr="0035500E">
              <w:rPr>
                <w:rFonts w:asciiTheme="minorHAnsi" w:hAnsiTheme="minorHAnsi" w:cstheme="minorHAnsi"/>
                <w:b/>
              </w:rPr>
              <w:t>Documentação Necessária</w:t>
            </w:r>
            <w:r w:rsidR="009B7C7C">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9B7C7C" w:rsidRPr="0035500E">
              <w:rPr>
                <w:rFonts w:asciiTheme="minorHAnsi" w:hAnsiTheme="minorHAnsi" w:cstheme="minorHAnsi"/>
                <w:bCs/>
              </w:rPr>
              <w:t>.</w:t>
            </w:r>
            <w:r w:rsidR="009B7C7C" w:rsidRPr="00662FE5">
              <w:rPr>
                <w:rFonts w:asciiTheme="minorHAnsi" w:eastAsiaTheme="minorHAnsi" w:hAnsiTheme="minorHAnsi" w:cstheme="minorHAnsi"/>
              </w:rPr>
              <w:t xml:space="preserve">     </w:t>
            </w:r>
            <w:r w:rsidRPr="00A767E8">
              <w:rPr>
                <w:rFonts w:asciiTheme="minorHAnsi" w:eastAsiaTheme="minorHAnsi" w:hAnsiTheme="minorHAnsi" w:cstheme="minorHAnsi"/>
              </w:rPr>
              <w:t xml:space="preserve">    </w:t>
            </w:r>
          </w:p>
          <w:p w14:paraId="4E19CF1F" w14:textId="77777777" w:rsidR="00287A0A" w:rsidRPr="00A767E8" w:rsidRDefault="00287A0A" w:rsidP="003B12E5">
            <w:pPr>
              <w:pStyle w:val="PargrafodaLista"/>
              <w:tabs>
                <w:tab w:val="left" w:pos="426"/>
                <w:tab w:val="left" w:pos="1134"/>
              </w:tabs>
              <w:spacing w:after="60" w:line="120" w:lineRule="atLeast"/>
              <w:ind w:left="142"/>
              <w:rPr>
                <w:rFonts w:asciiTheme="minorHAnsi" w:eastAsiaTheme="minorHAnsi" w:hAnsiTheme="minorHAnsi" w:cstheme="minorHAnsi"/>
              </w:rPr>
            </w:pPr>
          </w:p>
          <w:p w14:paraId="005231B7" w14:textId="77777777" w:rsidR="00287A0A"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p w14:paraId="6C49E576" w14:textId="77777777" w:rsidR="00345926" w:rsidRPr="00345926" w:rsidRDefault="00345926" w:rsidP="00345926">
            <w:pPr>
              <w:pStyle w:val="PargrafodaLista"/>
              <w:rPr>
                <w:rFonts w:asciiTheme="minorHAnsi" w:eastAsiaTheme="minorHAnsi" w:hAnsiTheme="minorHAnsi" w:cstheme="minorHAnsi"/>
              </w:rPr>
            </w:pPr>
          </w:p>
          <w:p w14:paraId="2B1B097E" w14:textId="09FB1ED6" w:rsidR="00345926"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 xml:space="preserve">O Formador de Mercado se compromete a enviar tabela em Excel (“Tabela de Ativos”), listando os ativos para os quais pretende se credenciar (“Ativos Selecionados”), conforme modelo </w:t>
            </w:r>
            <w:r>
              <w:rPr>
                <w:rFonts w:asciiTheme="minorHAnsi" w:eastAsiaTheme="minorHAnsi" w:hAnsiTheme="minorHAnsi" w:cstheme="minorHAnsi"/>
              </w:rPr>
              <w:t>abaixo</w:t>
            </w:r>
            <w:r w:rsidRPr="003E2778">
              <w:rPr>
                <w:rFonts w:asciiTheme="minorHAnsi" w:eastAsiaTheme="minorHAnsi" w:hAnsiTheme="minorHAnsi" w:cstheme="minorHAnsi"/>
              </w:rPr>
              <w:t>, anexada ao e-mail no qual encaminhará a versão digitalizada ou assinada de forma eletrônica do presente Termo de Credenciamento.</w:t>
            </w:r>
            <w:r>
              <w:rPr>
                <w:rFonts w:asciiTheme="minorHAnsi" w:eastAsiaTheme="minorHAnsi" w:hAnsiTheme="minorHAnsi" w:cstheme="minorHAnsi"/>
              </w:rPr>
              <w:t xml:space="preserve"> </w:t>
            </w:r>
          </w:p>
          <w:p w14:paraId="4747E62A" w14:textId="77777777" w:rsidR="00345926" w:rsidRPr="00A2627C" w:rsidRDefault="00345926" w:rsidP="00345926">
            <w:pPr>
              <w:pStyle w:val="PargrafodaLista"/>
              <w:rPr>
                <w:rFonts w:asciiTheme="minorHAnsi" w:eastAsiaTheme="minorHAnsi" w:hAnsiTheme="minorHAnsi" w:cstheme="minorHAnsi"/>
              </w:rPr>
            </w:pPr>
          </w:p>
          <w:p w14:paraId="4F2BC61B" w14:textId="2C55A65C" w:rsidR="00345926" w:rsidRPr="00A767E8"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O Formador de Mercado, ao Enviar a Tabela de Ativos conforme cláusula acima, manifesta interesse inequívoco em se credenciar para os Ativos Selecionados que indicar.</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01A9CB73" w14:textId="77777777" w:rsidR="00287A0A"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31620941" w14:textId="77777777" w:rsidR="00287A0A" w:rsidRPr="00A767E8" w:rsidRDefault="00287A0A" w:rsidP="00287A0A">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 xml:space="preserve">Issuers of stocks or stocks underlying the securities in this Program, </w:t>
            </w:r>
            <w:proofErr w:type="gramStart"/>
            <w:r w:rsidRPr="00A767E8">
              <w:rPr>
                <w:rFonts w:asciiTheme="minorHAnsi" w:eastAsiaTheme="minorHAnsi" w:hAnsiTheme="minorHAnsi" w:cstheme="minorHAnsi"/>
                <w:i/>
                <w:sz w:val="24"/>
                <w:szCs w:val="24"/>
                <w:lang w:val="en-US"/>
              </w:rPr>
              <w:t>and also</w:t>
            </w:r>
            <w:proofErr w:type="gramEnd"/>
            <w:r w:rsidRPr="00A767E8">
              <w:rPr>
                <w:rFonts w:asciiTheme="minorHAnsi" w:eastAsiaTheme="minorHAnsi" w:hAnsiTheme="minorHAnsi" w:cstheme="minorHAnsi"/>
                <w:i/>
                <w:sz w:val="24"/>
                <w:szCs w:val="24"/>
                <w:lang w:val="en-US"/>
              </w:rPr>
              <w:t xml:space="preserve"> their parent companies, subsidiaries and affiliates may not act as Market Makers for the stocks and securities in this Program.</w:t>
            </w:r>
          </w:p>
          <w:p w14:paraId="1909CF6B" w14:textId="77777777" w:rsidR="00287A0A" w:rsidRPr="00A767E8" w:rsidRDefault="00287A0A" w:rsidP="003B12E5">
            <w:pPr>
              <w:pStyle w:val="PargrafodaLista"/>
              <w:rPr>
                <w:rFonts w:asciiTheme="minorHAnsi" w:eastAsiaTheme="minorHAnsi" w:hAnsiTheme="minorHAnsi" w:cstheme="minorHAnsi"/>
                <w:i/>
                <w:lang w:val="en-US"/>
              </w:rPr>
            </w:pPr>
          </w:p>
          <w:p w14:paraId="2866F651" w14:textId="77777777" w:rsidR="00287A0A" w:rsidRPr="00A767E8" w:rsidRDefault="00287A0A"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6D56A695"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 xml:space="preserve">The Parties will decide how the services described in this Instrument of Accreditation </w:t>
            </w:r>
            <w:r w:rsidRPr="00A767E8">
              <w:rPr>
                <w:rFonts w:asciiTheme="minorHAnsi" w:eastAsiaTheme="minorHAnsi" w:hAnsiTheme="minorHAnsi" w:cstheme="minorHAnsi"/>
                <w:i/>
                <w:lang w:val="en-US"/>
              </w:rPr>
              <w:lastRenderedPageBreak/>
              <w:t>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w:t>
            </w:r>
            <w:proofErr w:type="gramStart"/>
            <w:r w:rsidRPr="00A767E8">
              <w:rPr>
                <w:rFonts w:asciiTheme="minorHAnsi" w:eastAsiaTheme="minorHAnsi" w:hAnsiTheme="minorHAnsi" w:cstheme="minorHAnsi"/>
                <w:i/>
                <w:lang w:val="en-US"/>
              </w:rPr>
              <w:t>liquidation</w:t>
            </w:r>
            <w:proofErr w:type="gramEnd"/>
            <w:r w:rsidRPr="00A767E8">
              <w:rPr>
                <w:rFonts w:asciiTheme="minorHAnsi" w:eastAsiaTheme="minorHAnsi" w:hAnsiTheme="minorHAnsi" w:cstheme="minorHAnsi"/>
                <w:i/>
                <w:lang w:val="en-US"/>
              </w:rPr>
              <w:t xml:space="preserve"> or receivership, concludes a workout or court-supervised debt restructuring agreement, or is dissolved or wound up. </w:t>
            </w:r>
            <w:bookmarkEnd w:id="0"/>
          </w:p>
          <w:p w14:paraId="30419332"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5EB8C2BF"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71141491"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2A65F032" w14:textId="77777777" w:rsidR="00287A0A" w:rsidRPr="00A767E8" w:rsidRDefault="00287A0A" w:rsidP="00287A0A">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 maintenance</w:t>
            </w:r>
          </w:p>
          <w:p w14:paraId="23BC68D6"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E0E95D7"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0970024"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BED5745" w14:textId="77777777" w:rsidR="00287A0A" w:rsidRPr="00A767E8" w:rsidRDefault="00287A0A" w:rsidP="003B12E5">
            <w:pPr>
              <w:pStyle w:val="PargrafodaLista"/>
              <w:rPr>
                <w:rFonts w:asciiTheme="minorHAnsi" w:hAnsiTheme="minorHAnsi" w:cstheme="minorHAnsi"/>
                <w:bCs/>
                <w:lang w:val="en-US"/>
              </w:rPr>
            </w:pPr>
          </w:p>
          <w:p w14:paraId="7B39C502" w14:textId="77777777" w:rsidR="00287A0A" w:rsidRPr="00A767E8" w:rsidRDefault="00287A0A" w:rsidP="003B12E5">
            <w:pPr>
              <w:pStyle w:val="PargrafodaLista"/>
              <w:rPr>
                <w:rFonts w:asciiTheme="minorHAnsi" w:hAnsiTheme="minorHAnsi" w:cstheme="minorHAnsi"/>
                <w:bCs/>
                <w:lang w:val="en-US"/>
              </w:rPr>
            </w:pPr>
          </w:p>
          <w:p w14:paraId="7247E0D9"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4A89E03D" w14:textId="77777777" w:rsidR="00287A0A" w:rsidRPr="00A767E8" w:rsidRDefault="00287A0A" w:rsidP="003B12E5">
            <w:pPr>
              <w:pStyle w:val="PargrafodaLista"/>
              <w:rPr>
                <w:rFonts w:asciiTheme="minorHAnsi" w:hAnsiTheme="minorHAnsi" w:cstheme="minorHAnsi"/>
                <w:bCs/>
                <w:lang w:val="en-US"/>
              </w:rPr>
            </w:pPr>
          </w:p>
          <w:p w14:paraId="266C644C" w14:textId="77777777" w:rsidR="00287A0A" w:rsidRPr="00A767E8" w:rsidRDefault="00287A0A" w:rsidP="003B12E5">
            <w:pPr>
              <w:pStyle w:val="PargrafodaLista"/>
              <w:spacing w:after="240"/>
              <w:rPr>
                <w:rFonts w:asciiTheme="minorHAnsi" w:hAnsiTheme="minorHAnsi" w:cstheme="minorHAnsi"/>
                <w:bCs/>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 xml:space="preserve">Final </w:t>
            </w:r>
            <w:proofErr w:type="spellStart"/>
            <w:r w:rsidRPr="00A767E8">
              <w:rPr>
                <w:rFonts w:asciiTheme="minorHAnsi" w:eastAsiaTheme="minorHAnsi" w:hAnsiTheme="minorHAnsi" w:cstheme="minorHAnsi"/>
                <w:b/>
                <w:i/>
              </w:rPr>
              <w:t>Provisions</w:t>
            </w:r>
            <w:proofErr w:type="spellEnd"/>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4EC562A2" w14:textId="77777777" w:rsidR="00287A0A" w:rsidRPr="00A767E8" w:rsidRDefault="00287A0A" w:rsidP="003B12E5">
            <w:pPr>
              <w:tabs>
                <w:tab w:val="left" w:pos="567"/>
              </w:tabs>
              <w:spacing w:line="120" w:lineRule="atLeast"/>
              <w:rPr>
                <w:rFonts w:cstheme="minorHAnsi"/>
                <w:i/>
                <w:sz w:val="24"/>
                <w:szCs w:val="24"/>
                <w:lang w:val="en-US"/>
              </w:rPr>
            </w:pP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Upon signing this Instrument of Accreditation, Intermediary declares that it is cognizant of the clauses, </w:t>
            </w:r>
            <w:proofErr w:type="gramStart"/>
            <w:r w:rsidRPr="00A767E8">
              <w:rPr>
                <w:rFonts w:asciiTheme="minorHAnsi" w:eastAsiaTheme="minorHAnsi" w:hAnsiTheme="minorHAnsi" w:cstheme="minorHAnsi"/>
                <w:i/>
                <w:lang w:val="en-US"/>
              </w:rPr>
              <w:t>terms</w:t>
            </w:r>
            <w:proofErr w:type="gramEnd"/>
            <w:r w:rsidRPr="00A767E8">
              <w:rPr>
                <w:rFonts w:asciiTheme="minorHAnsi" w:eastAsiaTheme="minorHAnsi" w:hAnsiTheme="minorHAnsi" w:cstheme="minorHAnsi"/>
                <w:i/>
                <w:lang w:val="en-US"/>
              </w:rPr>
              <w:t xml:space="preserve"> and conditions of the Master Agreement, as set forth in clause </w:t>
            </w:r>
            <w:r w:rsidRPr="00A767E8">
              <w:rPr>
                <w:rFonts w:asciiTheme="minorHAnsi" w:eastAsiaTheme="minorHAnsi" w:hAnsiTheme="minorHAnsi" w:cstheme="minorHAnsi"/>
                <w:i/>
                <w:lang w:val="en-US"/>
              </w:rPr>
              <w:lastRenderedPageBreak/>
              <w:t>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12FAA0F3" w14:textId="3F45D9BA"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w:t>
            </w:r>
            <w:proofErr w:type="spellStart"/>
            <w:r w:rsidRPr="00A767E8">
              <w:rPr>
                <w:rFonts w:asciiTheme="minorHAnsi" w:eastAsiaTheme="minorHAnsi" w:hAnsiTheme="minorHAnsi" w:cstheme="minorHAnsi"/>
                <w:i/>
                <w:lang w:val="en-US"/>
              </w:rPr>
              <w:t>i</w:t>
            </w:r>
            <w:proofErr w:type="spellEnd"/>
            <w:r w:rsidRPr="00A767E8">
              <w:rPr>
                <w:rFonts w:asciiTheme="minorHAnsi" w:eastAsiaTheme="minorHAnsi" w:hAnsiTheme="minorHAnsi" w:cstheme="minorHAnsi"/>
                <w:i/>
                <w:lang w:val="en-US"/>
              </w:rPr>
              <w:t>) declares and recognizes that the submission of this Instrument of Accreditation constitutes an irrevocable and irreversible act; (ii) attests that it has the regulatory authorizations and technical trading capabilities required for the performance of its activities as Market Maker;(iii) undertakes to meet all the requirements stipulated in the Circular Letter and applicable regulations</w:t>
            </w:r>
            <w:r w:rsidR="009B7C7C" w:rsidRPr="009B7C7C">
              <w:rPr>
                <w:rFonts w:asciiTheme="minorHAnsi" w:eastAsiaTheme="minorHAnsi" w:hAnsiTheme="minorHAnsi" w:cstheme="minorHAnsi"/>
                <w:i/>
                <w:lang w:val="en-US"/>
              </w:rPr>
              <w:t xml:space="preserve">; (iv) declares and </w:t>
            </w:r>
            <w:r w:rsidR="009B7C7C">
              <w:rPr>
                <w:rFonts w:asciiTheme="minorHAnsi" w:eastAsiaTheme="minorHAnsi" w:hAnsiTheme="minorHAnsi" w:cstheme="minorHAnsi"/>
                <w:i/>
                <w:lang w:val="en-US"/>
              </w:rPr>
              <w:t>recognizes</w:t>
            </w:r>
            <w:r w:rsidR="009B7C7C" w:rsidRPr="009B7C7C">
              <w:rPr>
                <w:rFonts w:asciiTheme="minorHAnsi" w:eastAsiaTheme="minorHAnsi" w:hAnsiTheme="minorHAnsi" w:cstheme="minorHAnsi"/>
                <w:i/>
                <w:lang w:val="en-US"/>
              </w:rPr>
              <w:t xml:space="preserve"> that (a) there was no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9B7C7C" w:rsidRPr="00345926">
              <w:rPr>
                <w:rFonts w:asciiTheme="minorHAnsi" w:eastAsiaTheme="minorHAnsi" w:hAnsiTheme="minorHAnsi" w:cstheme="minorHAnsi"/>
                <w:b/>
                <w:bCs/>
                <w:i/>
                <w:lang w:val="en-US"/>
              </w:rPr>
              <w:t>Required Documentation</w:t>
            </w:r>
            <w:r w:rsidR="009B7C7C" w:rsidRPr="009B7C7C">
              <w:rPr>
                <w:rFonts w:asciiTheme="minorHAnsi" w:eastAsiaTheme="minorHAnsi" w:hAnsiTheme="minorHAnsi" w:cstheme="minorHAnsi"/>
                <w:i/>
                <w:lang w:val="en-US"/>
              </w:rPr>
              <w:t xml:space="preserve">) or (b) if there is a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7C3EFF" w:rsidRPr="00A767E8">
              <w:rPr>
                <w:rFonts w:asciiTheme="minorHAnsi" w:eastAsiaTheme="minorHAnsi" w:hAnsiTheme="minorHAnsi" w:cstheme="minorHAnsi"/>
                <w:i/>
                <w:lang w:val="en-US"/>
              </w:rPr>
              <w:t>Instrument of Accreditation</w:t>
            </w:r>
            <w:r w:rsidR="009B7C7C" w:rsidRPr="009B7C7C">
              <w:rPr>
                <w:rFonts w:asciiTheme="minorHAnsi" w:eastAsiaTheme="minorHAnsi" w:hAnsiTheme="minorHAnsi" w:cstheme="minorHAnsi"/>
                <w:i/>
                <w:lang w:val="en-US"/>
              </w:rPr>
              <w:t>.</w:t>
            </w:r>
          </w:p>
          <w:p w14:paraId="33FD4971" w14:textId="77777777" w:rsidR="00287A0A" w:rsidRPr="00A767E8" w:rsidRDefault="00287A0A" w:rsidP="003B12E5">
            <w:pPr>
              <w:pStyle w:val="PargrafodaLista"/>
              <w:rPr>
                <w:rFonts w:asciiTheme="minorHAnsi" w:eastAsiaTheme="minorHAnsi" w:hAnsiTheme="minorHAnsi" w:cstheme="minorHAnsi"/>
                <w:i/>
                <w:lang w:val="en-US"/>
              </w:rPr>
            </w:pPr>
          </w:p>
          <w:p w14:paraId="2D245E59" w14:textId="77777777" w:rsidR="00287A0A"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p w14:paraId="674440AA" w14:textId="77777777" w:rsidR="00345926" w:rsidRPr="00345926" w:rsidRDefault="00345926" w:rsidP="00345926">
            <w:pPr>
              <w:pStyle w:val="PargrafodaLista"/>
              <w:rPr>
                <w:rFonts w:asciiTheme="minorHAnsi" w:eastAsiaTheme="minorHAnsi" w:hAnsiTheme="minorHAnsi" w:cstheme="minorHAnsi"/>
                <w:i/>
                <w:lang w:val="en-US"/>
              </w:rPr>
            </w:pPr>
          </w:p>
          <w:p w14:paraId="6492D5F4" w14:textId="75BE9AC6" w:rsidR="00345926"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undertakes to send an Excel table ("Assets Table"), listing the assets for which it intends to be accredited ("Selected Assets"), according to the model </w:t>
            </w:r>
            <w:r>
              <w:rPr>
                <w:rFonts w:asciiTheme="minorHAnsi" w:eastAsiaTheme="minorHAnsi" w:hAnsiTheme="minorHAnsi" w:cstheme="minorHAnsi"/>
                <w:i/>
                <w:lang w:val="en-US"/>
              </w:rPr>
              <w:t>below</w:t>
            </w:r>
            <w:r w:rsidRPr="003E2778">
              <w:rPr>
                <w:rFonts w:asciiTheme="minorHAnsi" w:eastAsiaTheme="minorHAnsi" w:hAnsiTheme="minorHAnsi" w:cstheme="minorHAnsi"/>
                <w:i/>
                <w:lang w:val="en-US"/>
              </w:rPr>
              <w:t xml:space="preserve">, attached to and e-mail in which you will send the scanned or electronically signed version of this </w:t>
            </w:r>
            <w:r>
              <w:rPr>
                <w:rFonts w:asciiTheme="minorHAnsi" w:eastAsiaTheme="minorHAnsi" w:hAnsiTheme="minorHAnsi" w:cstheme="minorHAnsi"/>
                <w:i/>
                <w:lang w:val="en-US"/>
              </w:rPr>
              <w:t xml:space="preserve">Instrument of </w:t>
            </w:r>
            <w:r w:rsidRPr="003E2778">
              <w:rPr>
                <w:rFonts w:asciiTheme="minorHAnsi" w:eastAsiaTheme="minorHAnsi" w:hAnsiTheme="minorHAnsi" w:cstheme="minorHAnsi"/>
                <w:i/>
                <w:lang w:val="en-US"/>
              </w:rPr>
              <w:t xml:space="preserve">Accreditation. </w:t>
            </w:r>
          </w:p>
          <w:p w14:paraId="7026E002" w14:textId="77777777" w:rsidR="00345926" w:rsidRPr="00A2627C" w:rsidRDefault="00345926" w:rsidP="00345926">
            <w:pPr>
              <w:pStyle w:val="PargrafodaLista"/>
              <w:rPr>
                <w:rFonts w:asciiTheme="minorHAnsi" w:eastAsiaTheme="minorHAnsi" w:hAnsiTheme="minorHAnsi" w:cstheme="minorHAnsi"/>
                <w:i/>
                <w:lang w:val="en-US"/>
              </w:rPr>
            </w:pPr>
          </w:p>
          <w:p w14:paraId="16F7529D" w14:textId="1E6C9BEC" w:rsidR="00345926" w:rsidRPr="00A767E8"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by submitting the Assets </w:t>
            </w:r>
            <w:r>
              <w:rPr>
                <w:rFonts w:asciiTheme="minorHAnsi" w:eastAsiaTheme="minorHAnsi" w:hAnsiTheme="minorHAnsi" w:cstheme="minorHAnsi"/>
                <w:i/>
                <w:lang w:val="en-US"/>
              </w:rPr>
              <w:t xml:space="preserve">Table </w:t>
            </w:r>
            <w:r w:rsidRPr="003E2778">
              <w:rPr>
                <w:rFonts w:asciiTheme="minorHAnsi" w:eastAsiaTheme="minorHAnsi" w:hAnsiTheme="minorHAnsi" w:cstheme="minorHAnsi"/>
                <w:i/>
                <w:lang w:val="en-US"/>
              </w:rPr>
              <w:t>as per the clause above, expresses an unequivocal interest in being accredited for the Selected Assets.</w:t>
            </w:r>
          </w:p>
        </w:tc>
      </w:tr>
    </w:tbl>
    <w:p w14:paraId="266F33F8" w14:textId="77777777" w:rsidR="00490DE8" w:rsidRDefault="00490DE8" w:rsidP="00287A0A">
      <w:pPr>
        <w:tabs>
          <w:tab w:val="left" w:pos="459"/>
        </w:tabs>
        <w:spacing w:after="120" w:line="240" w:lineRule="atLeast"/>
        <w:ind w:left="142" w:hanging="567"/>
        <w:jc w:val="center"/>
        <w:rPr>
          <w:rFonts w:cs="Arial"/>
          <w:sz w:val="24"/>
          <w:szCs w:val="24"/>
        </w:rPr>
      </w:pPr>
    </w:p>
    <w:p w14:paraId="3BC3C47F" w14:textId="77777777" w:rsidR="00490DE8" w:rsidRDefault="00490DE8" w:rsidP="00287A0A">
      <w:pPr>
        <w:tabs>
          <w:tab w:val="left" w:pos="459"/>
        </w:tabs>
        <w:spacing w:after="120" w:line="240" w:lineRule="atLeast"/>
        <w:ind w:left="142" w:hanging="567"/>
        <w:jc w:val="center"/>
        <w:rPr>
          <w:rFonts w:cs="Arial"/>
          <w:sz w:val="24"/>
          <w:szCs w:val="24"/>
        </w:rPr>
      </w:pPr>
    </w:p>
    <w:p w14:paraId="6184AA44" w14:textId="77777777" w:rsidR="00490DE8" w:rsidRDefault="00490DE8" w:rsidP="00287A0A">
      <w:pPr>
        <w:tabs>
          <w:tab w:val="left" w:pos="459"/>
        </w:tabs>
        <w:spacing w:after="120" w:line="240" w:lineRule="atLeast"/>
        <w:ind w:left="142" w:hanging="567"/>
        <w:jc w:val="center"/>
        <w:rPr>
          <w:rFonts w:cs="Arial"/>
          <w:sz w:val="24"/>
          <w:szCs w:val="24"/>
        </w:rPr>
      </w:pPr>
    </w:p>
    <w:p w14:paraId="308F9DD4" w14:textId="60561586"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lastRenderedPageBreak/>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003B12E5">
        <w:tc>
          <w:tcPr>
            <w:tcW w:w="8494" w:type="dxa"/>
            <w:gridSpan w:val="3"/>
          </w:tcPr>
          <w:p w14:paraId="10A6A217" w14:textId="77777777" w:rsidR="00287A0A" w:rsidRDefault="00287A0A" w:rsidP="003B12E5">
            <w:pPr>
              <w:tabs>
                <w:tab w:val="center" w:pos="4139"/>
                <w:tab w:val="left" w:pos="6795"/>
              </w:tabs>
              <w:ind w:right="-1538"/>
              <w:jc w:val="center"/>
              <w:rPr>
                <w:b/>
                <w:sz w:val="24"/>
                <w:szCs w:val="24"/>
              </w:rPr>
            </w:pPr>
          </w:p>
          <w:p w14:paraId="63A4F830" w14:textId="77777777" w:rsidR="00287A0A" w:rsidRPr="006117A7" w:rsidRDefault="00287A0A" w:rsidP="00490DE8">
            <w:pPr>
              <w:tabs>
                <w:tab w:val="center" w:pos="4139"/>
                <w:tab w:val="left" w:pos="6795"/>
              </w:tabs>
              <w:ind w:right="-1538"/>
              <w:jc w:val="center"/>
              <w:rPr>
                <w:b/>
                <w:sz w:val="24"/>
                <w:szCs w:val="24"/>
              </w:rPr>
            </w:pPr>
            <w:r>
              <w:rPr>
                <w:b/>
                <w:sz w:val="24"/>
                <w:szCs w:val="24"/>
              </w:rPr>
              <w:t>[</w:t>
            </w:r>
            <w:r w:rsidRPr="006117A7">
              <w:rPr>
                <w:b/>
                <w:sz w:val="24"/>
                <w:szCs w:val="24"/>
              </w:rPr>
              <w:t>Formador de Mercado</w:t>
            </w:r>
            <w:r>
              <w:rPr>
                <w:b/>
                <w:sz w:val="24"/>
                <w:szCs w:val="24"/>
              </w:rPr>
              <w:t xml:space="preserve"> / Market </w:t>
            </w:r>
            <w:proofErr w:type="spellStart"/>
            <w:r>
              <w:rPr>
                <w:b/>
                <w:sz w:val="24"/>
                <w:szCs w:val="24"/>
              </w:rPr>
              <w:t>Maker</w:t>
            </w:r>
            <w:proofErr w:type="spellEnd"/>
            <w:r>
              <w:rPr>
                <w:b/>
                <w:sz w:val="24"/>
                <w:szCs w:val="24"/>
              </w:rPr>
              <w:t>]</w:t>
            </w:r>
          </w:p>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003B12E5">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680A507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r w:rsidR="00287A0A" w:rsidRPr="006117A7" w14:paraId="76BA5340" w14:textId="77777777" w:rsidTr="003B12E5">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r>
              <w:rPr>
                <w:b/>
                <w:sz w:val="24"/>
                <w:szCs w:val="24"/>
              </w:rPr>
              <w:t>[</w:t>
            </w:r>
            <w:r w:rsidRPr="006117A7">
              <w:rPr>
                <w:b/>
                <w:sz w:val="24"/>
                <w:szCs w:val="24"/>
              </w:rPr>
              <w:t>Intermediário</w:t>
            </w:r>
            <w:r>
              <w:rPr>
                <w:b/>
                <w:sz w:val="24"/>
                <w:szCs w:val="24"/>
              </w:rPr>
              <w:t xml:space="preserve">/ </w:t>
            </w:r>
            <w:proofErr w:type="spellStart"/>
            <w:r>
              <w:rPr>
                <w:b/>
                <w:sz w:val="24"/>
                <w:szCs w:val="24"/>
              </w:rPr>
              <w:t>Intermediary</w:t>
            </w:r>
            <w:proofErr w:type="spellEnd"/>
            <w:r>
              <w:rPr>
                <w:b/>
                <w:sz w:val="24"/>
                <w:szCs w:val="24"/>
              </w:rPr>
              <w:t>]</w:t>
            </w:r>
          </w:p>
          <w:p w14:paraId="07780C69" w14:textId="77777777" w:rsidR="00287A0A" w:rsidRDefault="00287A0A" w:rsidP="003B12E5">
            <w:pPr>
              <w:ind w:left="142"/>
              <w:jc w:val="center"/>
              <w:rPr>
                <w:b/>
                <w:sz w:val="24"/>
                <w:szCs w:val="24"/>
              </w:rPr>
            </w:pPr>
          </w:p>
          <w:p w14:paraId="2380BCDD" w14:textId="77777777" w:rsidR="00287A0A" w:rsidRPr="006117A7" w:rsidRDefault="00287A0A" w:rsidP="003B12E5">
            <w:pPr>
              <w:ind w:left="142"/>
              <w:jc w:val="cente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003B12E5">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bl>
    <w:p w14:paraId="3C247835" w14:textId="77777777" w:rsidR="00287A0A" w:rsidRDefault="00287A0A" w:rsidP="00287A0A">
      <w:pPr>
        <w:keepNext/>
        <w:spacing w:after="120" w:line="320" w:lineRule="exact"/>
        <w:ind w:left="142"/>
        <w:jc w:val="center"/>
        <w:rPr>
          <w:rFonts w:cs="Arial"/>
          <w:sz w:val="24"/>
          <w:szCs w:val="24"/>
        </w:rPr>
      </w:pPr>
    </w:p>
    <w:p w14:paraId="5E245D66" w14:textId="77777777" w:rsidR="00287A0A" w:rsidRDefault="00287A0A" w:rsidP="00287A0A">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proofErr w:type="spellStart"/>
      <w:r w:rsidRPr="008056C4">
        <w:rPr>
          <w:rFonts w:cs="Arial"/>
          <w:i/>
          <w:sz w:val="24"/>
          <w:szCs w:val="24"/>
        </w:rPr>
        <w:t>W</w:t>
      </w:r>
      <w:r w:rsidRPr="008056C4">
        <w:rPr>
          <w:rFonts w:ascii="Arial" w:hAnsi="Arial" w:cs="Arial"/>
          <w:i/>
          <w:shd w:val="clear" w:color="auto" w:fill="FFFFFF"/>
        </w:rPr>
        <w:t>itnesses</w:t>
      </w:r>
      <w:proofErr w:type="spellEnd"/>
      <w:r w:rsidRPr="006117A7">
        <w:rPr>
          <w:rFonts w:cs="Arial"/>
          <w:sz w:val="24"/>
          <w:szCs w:val="24"/>
        </w:rPr>
        <w:t>:</w:t>
      </w:r>
    </w:p>
    <w:p w14:paraId="341FEB38" w14:textId="77777777" w:rsidR="00287A0A" w:rsidRPr="006117A7" w:rsidRDefault="00287A0A" w:rsidP="00287A0A">
      <w:pPr>
        <w:keepNext/>
        <w:spacing w:after="120" w:line="320" w:lineRule="exact"/>
        <w:ind w:left="142"/>
        <w:rPr>
          <w:rFonts w:cs="Arial"/>
          <w:sz w:val="24"/>
          <w:szCs w:val="24"/>
        </w:rPr>
      </w:pP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5727ED3F" w14:textId="77777777" w:rsidR="00287A0A" w:rsidRPr="006117A7" w:rsidRDefault="00287A0A" w:rsidP="003B12E5">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571FCA1C" w14:textId="77777777"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0E23FA82" w14:textId="77777777" w:rsidR="00287A0A" w:rsidRDefault="00287A0A" w:rsidP="00287A0A">
      <w:pPr>
        <w:ind w:left="142"/>
        <w:jc w:val="center"/>
      </w:pPr>
    </w:p>
    <w:p w14:paraId="154DF803" w14:textId="77777777" w:rsidR="00287A0A" w:rsidRDefault="00287A0A" w:rsidP="00287A0A"/>
    <w:p w14:paraId="6B305A10" w14:textId="77777777" w:rsidR="00287A0A" w:rsidRDefault="00287A0A" w:rsidP="00287A0A"/>
    <w:p w14:paraId="319BD7B0" w14:textId="77777777" w:rsidR="00601806" w:rsidRPr="00B30A27" w:rsidRDefault="00490DE8" w:rsidP="00985608">
      <w:pPr>
        <w:spacing w:after="60" w:line="120" w:lineRule="atLeast"/>
        <w:ind w:left="142"/>
        <w:jc w:val="both"/>
      </w:pPr>
    </w:p>
    <w:sectPr w:rsidR="00601806" w:rsidRPr="00B30A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27DC" w14:textId="77777777" w:rsidR="00E460EA" w:rsidRDefault="00E460EA" w:rsidP="00B30A27">
      <w:pPr>
        <w:spacing w:after="0" w:line="240" w:lineRule="auto"/>
      </w:pPr>
      <w:r>
        <w:separator/>
      </w:r>
    </w:p>
  </w:endnote>
  <w:endnote w:type="continuationSeparator" w:id="0">
    <w:p w14:paraId="43D8E83F" w14:textId="77777777" w:rsidR="00E460EA" w:rsidRDefault="00E460EA"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E55" w14:textId="77777777" w:rsidR="002F3339" w:rsidRDefault="002F33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674" w14:textId="77777777" w:rsidR="002F3339" w:rsidRDefault="002F33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477" w14:textId="77777777" w:rsidR="00E460EA" w:rsidRDefault="00E460EA" w:rsidP="00B30A27">
      <w:pPr>
        <w:spacing w:after="0" w:line="240" w:lineRule="auto"/>
      </w:pPr>
      <w:r>
        <w:separator/>
      </w:r>
    </w:p>
  </w:footnote>
  <w:footnote w:type="continuationSeparator" w:id="0">
    <w:p w14:paraId="3B58FBCD" w14:textId="77777777" w:rsidR="00E460EA" w:rsidRDefault="00E460EA" w:rsidP="00B3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096" w14:textId="77777777" w:rsidR="002F3339" w:rsidRDefault="002F33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F51" w14:textId="77777777" w:rsidR="002F3339" w:rsidRDefault="002F33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C5C" w14:textId="77777777" w:rsidR="002F3339" w:rsidRDefault="002F3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95962151">
    <w:abstractNumId w:val="0"/>
  </w:num>
  <w:num w:numId="2" w16cid:durableId="61300472">
    <w:abstractNumId w:val="2"/>
  </w:num>
  <w:num w:numId="3" w16cid:durableId="1445272068">
    <w:abstractNumId w:val="3"/>
  </w:num>
  <w:num w:numId="4" w16cid:durableId="70542974">
    <w:abstractNumId w:val="5"/>
  </w:num>
  <w:num w:numId="5" w16cid:durableId="989136979">
    <w:abstractNumId w:val="1"/>
  </w:num>
  <w:num w:numId="6" w16cid:durableId="1742291215">
    <w:abstractNumId w:val="4"/>
  </w:num>
  <w:num w:numId="7" w16cid:durableId="1201362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62DA2"/>
    <w:rsid w:val="00182F19"/>
    <w:rsid w:val="001A59BE"/>
    <w:rsid w:val="001F7030"/>
    <w:rsid w:val="0027349E"/>
    <w:rsid w:val="00277427"/>
    <w:rsid w:val="00282933"/>
    <w:rsid w:val="00287A0A"/>
    <w:rsid w:val="00297A5A"/>
    <w:rsid w:val="002B0BA4"/>
    <w:rsid w:val="002F3339"/>
    <w:rsid w:val="00345926"/>
    <w:rsid w:val="003469EC"/>
    <w:rsid w:val="004852D4"/>
    <w:rsid w:val="00490DE8"/>
    <w:rsid w:val="004D097E"/>
    <w:rsid w:val="004F5E24"/>
    <w:rsid w:val="00527457"/>
    <w:rsid w:val="0058573A"/>
    <w:rsid w:val="005C771D"/>
    <w:rsid w:val="005F5C3C"/>
    <w:rsid w:val="0064749B"/>
    <w:rsid w:val="006A430D"/>
    <w:rsid w:val="006C631A"/>
    <w:rsid w:val="0077502E"/>
    <w:rsid w:val="007C3EFF"/>
    <w:rsid w:val="008105B5"/>
    <w:rsid w:val="00814D21"/>
    <w:rsid w:val="00893700"/>
    <w:rsid w:val="00895853"/>
    <w:rsid w:val="008F06D9"/>
    <w:rsid w:val="009632C7"/>
    <w:rsid w:val="0098228A"/>
    <w:rsid w:val="00985608"/>
    <w:rsid w:val="009B7C7C"/>
    <w:rsid w:val="009F3C26"/>
    <w:rsid w:val="00A062DF"/>
    <w:rsid w:val="00A152B1"/>
    <w:rsid w:val="00A50718"/>
    <w:rsid w:val="00AF0587"/>
    <w:rsid w:val="00B30A27"/>
    <w:rsid w:val="00B97672"/>
    <w:rsid w:val="00BD7782"/>
    <w:rsid w:val="00C04BB3"/>
    <w:rsid w:val="00C14619"/>
    <w:rsid w:val="00C35F24"/>
    <w:rsid w:val="00CA0C51"/>
    <w:rsid w:val="00D65CEB"/>
    <w:rsid w:val="00DA0CCC"/>
    <w:rsid w:val="00DA2E40"/>
    <w:rsid w:val="00E4164E"/>
    <w:rsid w:val="00E460EA"/>
    <w:rsid w:val="00E73CEC"/>
    <w:rsid w:val="00E74451"/>
    <w:rsid w:val="00F11907"/>
    <w:rsid w:val="00F20BB3"/>
    <w:rsid w:val="00FA44C5"/>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2899">
      <w:bodyDiv w:val="1"/>
      <w:marLeft w:val="0"/>
      <w:marRight w:val="0"/>
      <w:marTop w:val="0"/>
      <w:marBottom w:val="0"/>
      <w:divBdr>
        <w:top w:val="none" w:sz="0" w:space="0" w:color="auto"/>
        <w:left w:val="none" w:sz="0" w:space="0" w:color="auto"/>
        <w:bottom w:val="none" w:sz="0" w:space="0" w:color="auto"/>
        <w:right w:val="none" w:sz="0" w:space="0" w:color="auto"/>
      </w:divBdr>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593904331">
      <w:bodyDiv w:val="1"/>
      <w:marLeft w:val="0"/>
      <w:marRight w:val="0"/>
      <w:marTop w:val="0"/>
      <w:marBottom w:val="0"/>
      <w:divBdr>
        <w:top w:val="none" w:sz="0" w:space="0" w:color="auto"/>
        <w:left w:val="none" w:sz="0" w:space="0" w:color="auto"/>
        <w:bottom w:val="none" w:sz="0" w:space="0" w:color="auto"/>
        <w:right w:val="none" w:sz="0" w:space="0" w:color="auto"/>
      </w:divBdr>
    </w:div>
    <w:div w:id="739642717">
      <w:bodyDiv w:val="1"/>
      <w:marLeft w:val="0"/>
      <w:marRight w:val="0"/>
      <w:marTop w:val="0"/>
      <w:marBottom w:val="0"/>
      <w:divBdr>
        <w:top w:val="none" w:sz="0" w:space="0" w:color="auto"/>
        <w:left w:val="none" w:sz="0" w:space="0" w:color="auto"/>
        <w:bottom w:val="none" w:sz="0" w:space="0" w:color="auto"/>
        <w:right w:val="none" w:sz="0" w:space="0" w:color="auto"/>
      </w:divBdr>
    </w:div>
    <w:div w:id="847254226">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1222713339">
      <w:bodyDiv w:val="1"/>
      <w:marLeft w:val="0"/>
      <w:marRight w:val="0"/>
      <w:marTop w:val="0"/>
      <w:marBottom w:val="0"/>
      <w:divBdr>
        <w:top w:val="none" w:sz="0" w:space="0" w:color="auto"/>
        <w:left w:val="none" w:sz="0" w:space="0" w:color="auto"/>
        <w:bottom w:val="none" w:sz="0" w:space="0" w:color="auto"/>
        <w:right w:val="none" w:sz="0" w:space="0" w:color="auto"/>
      </w:divBdr>
    </w:div>
    <w:div w:id="1259144528">
      <w:bodyDiv w:val="1"/>
      <w:marLeft w:val="0"/>
      <w:marRight w:val="0"/>
      <w:marTop w:val="0"/>
      <w:marBottom w:val="0"/>
      <w:divBdr>
        <w:top w:val="none" w:sz="0" w:space="0" w:color="auto"/>
        <w:left w:val="none" w:sz="0" w:space="0" w:color="auto"/>
        <w:bottom w:val="none" w:sz="0" w:space="0" w:color="auto"/>
        <w:right w:val="none" w:sz="0" w:space="0" w:color="auto"/>
      </w:divBdr>
    </w:div>
    <w:div w:id="1265379418">
      <w:bodyDiv w:val="1"/>
      <w:marLeft w:val="0"/>
      <w:marRight w:val="0"/>
      <w:marTop w:val="0"/>
      <w:marBottom w:val="0"/>
      <w:divBdr>
        <w:top w:val="none" w:sz="0" w:space="0" w:color="auto"/>
        <w:left w:val="none" w:sz="0" w:space="0" w:color="auto"/>
        <w:bottom w:val="none" w:sz="0" w:space="0" w:color="auto"/>
        <w:right w:val="none" w:sz="0" w:space="0" w:color="auto"/>
      </w:divBdr>
    </w:div>
    <w:div w:id="1462188791">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Filipe Sarubbi Gois</cp:lastModifiedBy>
  <cp:revision>2</cp:revision>
  <dcterms:created xsi:type="dcterms:W3CDTF">2022-08-02T19:38:00Z</dcterms:created>
  <dcterms:modified xsi:type="dcterms:W3CDTF">2022-08-02T19:38:00Z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2021-11-19T16:55:35Z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660bf4cb-1ef4-4f70-baf2-03be3002a741</vt:lpwstr>
  </property>
  <property fmtid="{D5CDD505-2E9C-101B-9397-08002B2CF9AE}" pid="8" name="MSIP_Label_d828e72b-e531-4a93-b6e1-4cba36a7be73_ContentBits">
    <vt:lpwstr>2</vt:lpwstr>
  </property>
</Properties>
</file>