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846B" w14:textId="3E0973CA" w:rsidR="00535F90" w:rsidRPr="00535F90" w:rsidRDefault="00535F90" w:rsidP="00535F90">
      <w:pPr>
        <w:spacing w:before="120" w:after="120" w:line="360" w:lineRule="auto"/>
        <w:ind w:right="10"/>
        <w:jc w:val="left"/>
        <w:rPr>
          <w:rStyle w:val="PargrafoChar"/>
          <w:rFonts w:ascii="Montserrat" w:hAnsi="Montserrat"/>
          <w:lang w:val="pt-BR"/>
        </w:rPr>
      </w:pPr>
      <w:r w:rsidRPr="00D17994"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 xml:space="preserve">Anexo 3 </w:t>
      </w:r>
      <w:r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 xml:space="preserve">do Ofício Circular 098/2025-PRE </w:t>
      </w:r>
      <w:r w:rsidRPr="00D17994">
        <w:rPr>
          <w:rFonts w:ascii="Montserrat" w:hAnsi="Montserrat"/>
          <w:b/>
          <w:bCs/>
          <w:color w:val="156082" w:themeColor="accent1"/>
          <w:sz w:val="28"/>
          <w:szCs w:val="28"/>
          <w:lang w:val="la-Latn"/>
        </w:rPr>
        <w:t>- Termo de Adesão do Operador ao Programa de Incentivo para Novos Operadores Não Residentes Ciclo 2025</w:t>
      </w:r>
    </w:p>
    <w:p w14:paraId="5D5EC9BF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color w:val="156082" w:themeColor="accent1"/>
          <w:szCs w:val="24"/>
          <w:lang w:val="la-Latn"/>
        </w:rPr>
      </w:pPr>
    </w:p>
    <w:p w14:paraId="186E8C2A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Uma cópia do passaporte ou de documento equivalente com foto deve acompanhar todas as solicitações.</w:t>
      </w:r>
    </w:p>
    <w:p w14:paraId="6403F0B0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Nome: __________________________________________________________</w:t>
      </w:r>
    </w:p>
    <w:p w14:paraId="06356A15" w14:textId="77777777" w:rsidR="00535F90" w:rsidRPr="007814FD" w:rsidRDefault="00535F90" w:rsidP="00535F90">
      <w:pPr>
        <w:tabs>
          <w:tab w:val="center" w:pos="3718"/>
          <w:tab w:val="left" w:pos="4427"/>
          <w:tab w:val="left" w:pos="5135"/>
        </w:tabs>
        <w:spacing w:before="120" w:after="120" w:line="360" w:lineRule="auto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Sobrenome: _____________________________________________________</w:t>
      </w:r>
    </w:p>
    <w:p w14:paraId="4A334872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eastAsia="Segoe UI" w:hAnsi="Montserrat" w:cs="Segoe UI"/>
          <w:color w:val="0E2841" w:themeColor="text2"/>
          <w:lang w:val="la-Latn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Data de nascimento (MM/DD/YYYY): _____________________________</w:t>
      </w:r>
    </w:p>
    <w:p w14:paraId="2C6F2CAF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País de origem: __________________________________________________</w:t>
      </w:r>
    </w:p>
    <w:p w14:paraId="4012054C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Número do passaporte ou documento equivalente: _______________________</w:t>
      </w:r>
    </w:p>
    <w:p w14:paraId="0E6218A4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Tempo de experiência com negociação de mercados listados: _____________</w:t>
      </w:r>
    </w:p>
    <w:p w14:paraId="645811DC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Histórico profissional como operador em outros mercados (se aplicável):</w:t>
      </w:r>
    </w:p>
    <w:p w14:paraId="21B20D4D" w14:textId="77777777" w:rsidR="00535F90" w:rsidRPr="007814FD" w:rsidRDefault="00535F90" w:rsidP="00535F90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rPr>
          <w:rFonts w:ascii="Montserrat" w:eastAsia="Segoe UI" w:hAnsi="Montserrat" w:cs="Segoe UI"/>
          <w:color w:val="0E2841" w:themeColor="text2"/>
          <w:szCs w:val="24"/>
          <w:lang w:val="en-US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Período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en-US"/>
        </w:rPr>
        <w:t xml:space="preserve">, Mercado, 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Produtos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en-US"/>
        </w:rPr>
        <w:t>:_____________________</w:t>
      </w:r>
    </w:p>
    <w:p w14:paraId="46B4F76C" w14:textId="77777777" w:rsidR="00535F90" w:rsidRPr="007814FD" w:rsidRDefault="00535F90" w:rsidP="00535F90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rPr>
          <w:rFonts w:ascii="Montserrat" w:eastAsia="Segoe UI" w:hAnsi="Montserrat" w:cs="Segoe UI"/>
          <w:color w:val="0E2841" w:themeColor="text2"/>
          <w:szCs w:val="24"/>
          <w:lang w:val="en-US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Período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en-US"/>
        </w:rPr>
        <w:t xml:space="preserve">, Mercado, 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Produtos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en-US"/>
        </w:rPr>
        <w:t>:_____________________</w:t>
      </w:r>
    </w:p>
    <w:p w14:paraId="2784C9C5" w14:textId="77777777" w:rsidR="00535F90" w:rsidRPr="007814FD" w:rsidRDefault="00535F90" w:rsidP="00535F90">
      <w:pPr>
        <w:pStyle w:val="PargrafodaLista"/>
        <w:numPr>
          <w:ilvl w:val="0"/>
          <w:numId w:val="1"/>
        </w:numPr>
        <w:spacing w:before="120" w:after="120" w:line="360" w:lineRule="auto"/>
        <w:contextualSpacing w:val="0"/>
        <w:rPr>
          <w:rFonts w:ascii="Montserrat" w:eastAsia="Segoe UI" w:hAnsi="Montserrat" w:cs="Segoe UI"/>
          <w:color w:val="0E2841" w:themeColor="text2"/>
          <w:szCs w:val="24"/>
          <w:lang w:val="en-US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Período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en-US"/>
        </w:rPr>
        <w:t xml:space="preserve">, Mercado, 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Produtos</w:t>
      </w:r>
      <w:r w:rsidRPr="007814FD">
        <w:rPr>
          <w:rFonts w:ascii="Montserrat" w:eastAsia="Segoe UI" w:hAnsi="Montserrat" w:cs="Segoe UI"/>
          <w:color w:val="0E2841" w:themeColor="text2"/>
          <w:szCs w:val="24"/>
          <w:lang w:val="en-US"/>
        </w:rPr>
        <w:t>:_____________________</w:t>
      </w:r>
    </w:p>
    <w:p w14:paraId="2C3D54BF" w14:textId="77777777" w:rsidR="00535F90" w:rsidRPr="007814FD" w:rsidRDefault="00535F90" w:rsidP="00535F90">
      <w:pPr>
        <w:spacing w:before="120" w:after="120" w:line="360" w:lineRule="auto"/>
        <w:rPr>
          <w:rFonts w:ascii="Montserrat" w:eastAsia="Segoe UI" w:hAnsi="Montserrat" w:cs="Segoe UI"/>
          <w:color w:val="0E2841" w:themeColor="text2"/>
          <w:lang w:val="la-Latn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Empresa: ______________________________________________________</w:t>
      </w:r>
    </w:p>
    <w:p w14:paraId="47E8F67B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Local: __________________________________________________________</w:t>
      </w:r>
    </w:p>
    <w:p w14:paraId="4F44B762" w14:textId="77777777" w:rsidR="00535F90" w:rsidRDefault="00535F90" w:rsidP="00535F90">
      <w:pPr>
        <w:pBdr>
          <w:bottom w:val="single" w:sz="12" w:space="1" w:color="000000"/>
        </w:pBdr>
        <w:spacing w:before="120" w:after="120" w:line="360" w:lineRule="auto"/>
        <w:rPr>
          <w:rFonts w:ascii="Montserrat" w:eastAsia="Segoe UI" w:hAnsi="Montserrat" w:cs="Segoe UI"/>
          <w:color w:val="0E2841" w:themeColor="text2"/>
          <w:lang w:val="la-Latn"/>
        </w:rPr>
      </w:pPr>
    </w:p>
    <w:p w14:paraId="1A3BF741" w14:textId="77777777" w:rsidR="00535F90" w:rsidRPr="00D17994" w:rsidRDefault="00535F90" w:rsidP="00535F90">
      <w:pPr>
        <w:pBdr>
          <w:bottom w:val="single" w:sz="12" w:space="1" w:color="000000"/>
        </w:pBdr>
        <w:spacing w:before="120" w:after="120" w:line="360" w:lineRule="auto"/>
        <w:rPr>
          <w:rFonts w:ascii="Montserrat" w:eastAsia="Segoe UI" w:hAnsi="Montserrat" w:cs="Segoe UI"/>
          <w:color w:val="0E2841" w:themeColor="text2"/>
          <w:szCs w:val="24"/>
          <w:lang w:val="la-Latn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Contas transitórias e definitivas que serão usadas no Programa Novos Operadores Ciclo 2025:</w:t>
      </w:r>
    </w:p>
    <w:p w14:paraId="09894B7D" w14:textId="77777777" w:rsidR="00535F90" w:rsidRDefault="00535F90" w:rsidP="00535F90">
      <w:pPr>
        <w:spacing w:before="120" w:after="120" w:line="360" w:lineRule="auto"/>
        <w:rPr>
          <w:rFonts w:ascii="Montserrat" w:eastAsia="Segoe UI" w:hAnsi="Montserrat" w:cs="Segoe UI"/>
          <w:color w:val="0E2841" w:themeColor="text2"/>
          <w:lang w:val="la-Latn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Conta a ser utilizada para eventual cobrança retroativa dos pontos consumidos no Programa Novos Operadores Ciclo 2025:</w:t>
      </w:r>
    </w:p>
    <w:p w14:paraId="7321A9D6" w14:textId="77777777" w:rsidR="00535F90" w:rsidRPr="006B1538" w:rsidRDefault="00535F90" w:rsidP="00535F90">
      <w:pPr>
        <w:spacing w:before="120" w:after="120" w:line="360" w:lineRule="auto"/>
        <w:rPr>
          <w:rFonts w:ascii="Montserrat" w:eastAsia="Segoe UI" w:hAnsi="Montserrat" w:cs="Segoe UI"/>
          <w:color w:val="0E2841" w:themeColor="text2"/>
          <w:lang w:val="la-Latn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lastRenderedPageBreak/>
        <w:t>_______________________________________________________________________________________</w:t>
      </w:r>
    </w:p>
    <w:p w14:paraId="6D7D761E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 xml:space="preserve"> </w:t>
      </w:r>
    </w:p>
    <w:p w14:paraId="01295503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Indicação dos produtos contemplados no Programa Novos Operadores Ciclo 2025:</w:t>
      </w:r>
    </w:p>
    <w:p w14:paraId="29AF0E29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Taxa Média de Depósitos Interfinanceiros de um dia (DI1);</w:t>
      </w:r>
    </w:p>
    <w:p w14:paraId="3BBF0BF8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Futuro de Cupom IPCA (DAP);</w:t>
      </w:r>
    </w:p>
    <w:p w14:paraId="2B3AFC9A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 xml:space="preserve">(  ) Operações Estruturadas de Forward Rate Agreement de Cupom Cambial </w:t>
      </w:r>
    </w:p>
    <w:p w14:paraId="10F97777" w14:textId="77777777" w:rsidR="00535F90" w:rsidRPr="007814FD" w:rsidRDefault="00535F90" w:rsidP="00535F90">
      <w:pPr>
        <w:tabs>
          <w:tab w:val="left" w:pos="284"/>
        </w:tabs>
        <w:spacing w:before="120" w:after="120" w:line="360" w:lineRule="auto"/>
        <w:ind w:left="284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(FRC);</w:t>
      </w:r>
    </w:p>
    <w:p w14:paraId="4D68C9B3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Taxa de Câmbio de Reais por Dólar Comercial (DOL);</w:t>
      </w:r>
    </w:p>
    <w:p w14:paraId="480EBE14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(  ) Contrato Futuro Mini de Taxa de Câmbio de Reais por Dólar Comercial (WDO);</w:t>
      </w:r>
    </w:p>
    <w:p w14:paraId="789EEE3D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Operações Estruturadas de Rolagem de Dólar Comercial (DR1);</w:t>
      </w:r>
    </w:p>
    <w:p w14:paraId="0426865C" w14:textId="77777777" w:rsidR="00535F90" w:rsidRPr="007814FD" w:rsidRDefault="00535F90" w:rsidP="00535F90">
      <w:pPr>
        <w:spacing w:before="120" w:after="120" w:line="360" w:lineRule="auto"/>
        <w:ind w:left="284" w:hanging="284"/>
        <w:jc w:val="left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Operações Estruturadas de Rolagem de Minicontrato de Dólar Comercial (WD1);</w:t>
      </w:r>
    </w:p>
    <w:p w14:paraId="54FD35FC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Ibovespa (IND);</w:t>
      </w:r>
    </w:p>
    <w:p w14:paraId="110CF817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(  ) Contrato Futuro Mini de Ibovespa (WIN);</w:t>
      </w:r>
    </w:p>
    <w:p w14:paraId="39964147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Operações Estruturadas de Rolagem de Ibovespa (IR1);</w:t>
      </w:r>
    </w:p>
    <w:p w14:paraId="5453201A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Operações Estruturadas de Rolagem de Minicontrato de Ibovespa (WI1);</w:t>
      </w:r>
    </w:p>
    <w:p w14:paraId="14036116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Café Arábica 4/5 (ICF);</w:t>
      </w:r>
    </w:p>
    <w:p w14:paraId="60B04216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Boi Gordo (BGI);</w:t>
      </w:r>
    </w:p>
    <w:p w14:paraId="64E42F90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Etanol Hidratado (ETH);</w:t>
      </w:r>
    </w:p>
    <w:p w14:paraId="2101A4E5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Contrato Futuro de Milho (CCM);</w:t>
      </w:r>
    </w:p>
    <w:p w14:paraId="571FA926" w14:textId="77777777" w:rsidR="00535F90" w:rsidRPr="007814FD" w:rsidRDefault="00535F90" w:rsidP="00535F90">
      <w:pPr>
        <w:spacing w:before="120" w:after="120" w:line="360" w:lineRule="auto"/>
        <w:jc w:val="left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lastRenderedPageBreak/>
        <w:t>(  ) Ativos do mercado à vista (ações, BDRs, ETFs, units, cotas de fundos, bônus de subscrição, recibos de subscrição e direitos de subscrição);</w:t>
      </w:r>
    </w:p>
    <w:p w14:paraId="74A90D57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Opções sobre Ações; e</w:t>
      </w:r>
    </w:p>
    <w:p w14:paraId="1471AA16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(  ) Opções sobre Índices (IBOV11 e BOVA11).</w:t>
      </w:r>
    </w:p>
    <w:p w14:paraId="6796BB9F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 xml:space="preserve"> </w:t>
      </w:r>
    </w:p>
    <w:p w14:paraId="1CA8B45B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b/>
          <w:bCs/>
          <w:color w:val="0E2841" w:themeColor="text2"/>
          <w:szCs w:val="24"/>
          <w:lang w:val="la-Latn"/>
        </w:rPr>
        <w:t>Atestado e autorização</w:t>
      </w:r>
    </w:p>
    <w:p w14:paraId="0F1BC8A0" w14:textId="77777777" w:rsidR="00535F90" w:rsidRPr="007814FD" w:rsidRDefault="00535F90" w:rsidP="00535F90">
      <w:pPr>
        <w:spacing w:before="120" w:after="120" w:line="360" w:lineRule="auto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 xml:space="preserve">Reconheço e aceito cumprir (a) os requisitos do Programa de Incentivo para Novos Operadores Não Residentes Ciclo 2025 dispostos neste Regulamento, bem como (b) as regras, os normativos e as políticas da B3. </w:t>
      </w:r>
    </w:p>
    <w:p w14:paraId="37EC5321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[local], [data]</w:t>
      </w:r>
    </w:p>
    <w:p w14:paraId="003DEAE4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__________________________________________</w:t>
      </w:r>
    </w:p>
    <w:p w14:paraId="6268CE65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[Nome e assinatura do operador]</w:t>
      </w:r>
    </w:p>
    <w:p w14:paraId="69C2E0EA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__________________________________________</w:t>
      </w:r>
    </w:p>
    <w:p w14:paraId="743B72A2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[Nome e assinatura da firma]</w:t>
      </w:r>
    </w:p>
    <w:p w14:paraId="27A993D5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  <w:r w:rsidRPr="007814FD">
        <w:rPr>
          <w:rFonts w:ascii="Montserrat" w:eastAsia="Segoe UI" w:hAnsi="Montserrat" w:cs="Segoe UI"/>
          <w:color w:val="0E2841" w:themeColor="text2"/>
          <w:szCs w:val="24"/>
          <w:lang w:val="la-Latn"/>
        </w:rPr>
        <w:t>__________________________________________</w:t>
      </w:r>
    </w:p>
    <w:p w14:paraId="2F992A45" w14:textId="77777777" w:rsidR="00535F90" w:rsidRDefault="00535F90" w:rsidP="00535F90">
      <w:pPr>
        <w:spacing w:before="120" w:after="120" w:line="360" w:lineRule="auto"/>
        <w:jc w:val="center"/>
        <w:rPr>
          <w:rFonts w:ascii="Montserrat" w:eastAsia="Segoe UI" w:hAnsi="Montserrat" w:cs="Segoe UI"/>
          <w:color w:val="0E2841" w:themeColor="text2"/>
          <w:lang w:val="la-Latn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[Nome e assinatura do PN ou PNP responsável]</w:t>
      </w:r>
    </w:p>
    <w:p w14:paraId="21F77561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</w:rPr>
      </w:pPr>
      <w:r w:rsidRPr="561BAED8">
        <w:rPr>
          <w:rFonts w:ascii="Montserrat" w:eastAsia="Segoe UI" w:hAnsi="Montserrat" w:cs="Segoe UI"/>
          <w:color w:val="0E2841" w:themeColor="text2"/>
          <w:lang w:val="la-Latn"/>
        </w:rPr>
        <w:t>__________________________________________</w:t>
      </w:r>
    </w:p>
    <w:p w14:paraId="2D5EDBB0" w14:textId="77777777" w:rsidR="00535F90" w:rsidRPr="007814FD" w:rsidRDefault="00535F90" w:rsidP="00535F90">
      <w:pPr>
        <w:spacing w:before="120" w:after="120" w:line="360" w:lineRule="auto"/>
        <w:jc w:val="center"/>
        <w:rPr>
          <w:rFonts w:ascii="Montserrat" w:hAnsi="Montserrat"/>
          <w:szCs w:val="24"/>
        </w:rPr>
      </w:pPr>
    </w:p>
    <w:p w14:paraId="2B1EB36C" w14:textId="77777777" w:rsidR="00535F90" w:rsidRPr="007814FD" w:rsidRDefault="00535F90" w:rsidP="00535F90">
      <w:pPr>
        <w:pStyle w:val="DataeNDocumento"/>
        <w:spacing w:before="120" w:after="120" w:line="360" w:lineRule="auto"/>
        <w:rPr>
          <w:rStyle w:val="PargrafoChar"/>
          <w:rFonts w:ascii="Montserrat" w:hAnsi="Montserrat"/>
          <w:u w:val="single"/>
          <w:lang w:val="la-Latn"/>
        </w:rPr>
      </w:pPr>
    </w:p>
    <w:p w14:paraId="53D610D2" w14:textId="77777777" w:rsidR="00535F90" w:rsidRPr="007814FD" w:rsidRDefault="00535F90" w:rsidP="00535F90">
      <w:pPr>
        <w:pStyle w:val="Pargrafo"/>
        <w:spacing w:before="120" w:after="120"/>
        <w:ind w:right="10"/>
        <w:rPr>
          <w:rFonts w:ascii="Montserrat" w:hAnsi="Montserrat"/>
          <w:noProof/>
          <w:lang w:val="la-Latn"/>
        </w:rPr>
      </w:pPr>
    </w:p>
    <w:p w14:paraId="56503948" w14:textId="77777777" w:rsidR="00535F90" w:rsidRPr="007814FD" w:rsidRDefault="00535F90" w:rsidP="00535F90">
      <w:pPr>
        <w:pStyle w:val="Pargrafo"/>
        <w:spacing w:before="120" w:after="120"/>
        <w:ind w:right="10"/>
        <w:rPr>
          <w:rFonts w:ascii="Montserrat" w:hAnsi="Montserrat"/>
          <w:noProof/>
          <w:lang w:val="la-Latn"/>
        </w:rPr>
      </w:pPr>
    </w:p>
    <w:p w14:paraId="5EB255B2" w14:textId="77777777" w:rsidR="00535F90" w:rsidRDefault="00535F90" w:rsidP="00535F90">
      <w:pPr>
        <w:spacing w:before="120" w:after="120" w:line="360" w:lineRule="auto"/>
        <w:ind w:right="10"/>
        <w:jc w:val="left"/>
        <w:rPr>
          <w:rFonts w:ascii="Montserrat" w:hAnsi="Montserrat"/>
          <w:szCs w:val="24"/>
          <w:lang w:val="la-Latn"/>
        </w:rPr>
      </w:pPr>
    </w:p>
    <w:p w14:paraId="7A8E85FF" w14:textId="77777777" w:rsidR="00535F90" w:rsidRDefault="00535F90" w:rsidP="00535F90">
      <w:pPr>
        <w:spacing w:before="120" w:after="120" w:line="360" w:lineRule="auto"/>
        <w:ind w:right="10"/>
        <w:jc w:val="left"/>
        <w:rPr>
          <w:rFonts w:ascii="Montserrat" w:hAnsi="Montserrat"/>
          <w:szCs w:val="24"/>
          <w:lang w:val="la-Latn"/>
        </w:rPr>
      </w:pPr>
    </w:p>
    <w:p w14:paraId="423F67BC" w14:textId="77777777" w:rsidR="00535F90" w:rsidRDefault="00535F90" w:rsidP="00535F90">
      <w:pPr>
        <w:spacing w:before="120" w:after="120" w:line="360" w:lineRule="auto"/>
        <w:ind w:right="10"/>
        <w:jc w:val="left"/>
        <w:rPr>
          <w:rFonts w:ascii="Montserrat" w:hAnsi="Montserrat"/>
          <w:szCs w:val="24"/>
          <w:lang w:val="la-Latn"/>
        </w:rPr>
      </w:pPr>
    </w:p>
    <w:p w14:paraId="157B6B85" w14:textId="77777777" w:rsidR="00535F90" w:rsidRDefault="00535F90" w:rsidP="00535F90">
      <w:pPr>
        <w:spacing w:before="120" w:after="120" w:line="360" w:lineRule="auto"/>
        <w:ind w:right="10"/>
        <w:jc w:val="left"/>
        <w:rPr>
          <w:rFonts w:ascii="Montserrat" w:hAnsi="Montserrat"/>
          <w:szCs w:val="24"/>
          <w:lang w:val="la-Latn"/>
        </w:rPr>
      </w:pPr>
    </w:p>
    <w:p w14:paraId="3AD88716" w14:textId="77777777" w:rsidR="00535F90" w:rsidRDefault="00535F90" w:rsidP="00535F90">
      <w:pPr>
        <w:spacing w:before="120" w:after="120" w:line="360" w:lineRule="auto"/>
        <w:ind w:right="10"/>
        <w:jc w:val="left"/>
        <w:rPr>
          <w:rFonts w:ascii="Montserrat" w:hAnsi="Montserrat"/>
          <w:szCs w:val="24"/>
          <w:lang w:val="la-Latn"/>
        </w:rPr>
      </w:pPr>
    </w:p>
    <w:p w14:paraId="4B0C57C5" w14:textId="77777777" w:rsidR="00A23C4F" w:rsidRDefault="00A23C4F"/>
    <w:sectPr w:rsidR="00A23C4F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559C" w14:textId="77777777" w:rsidR="00535F90" w:rsidRDefault="00535F90" w:rsidP="00535F90">
      <w:r>
        <w:separator/>
      </w:r>
    </w:p>
  </w:endnote>
  <w:endnote w:type="continuationSeparator" w:id="0">
    <w:p w14:paraId="1C1C03F6" w14:textId="77777777" w:rsidR="00535F90" w:rsidRDefault="00535F90" w:rsidP="0053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C2267" w14:textId="6C770FBC" w:rsidR="00535F90" w:rsidRDefault="00BE1017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EA39AC8" wp14:editId="421FE4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5080" b="0"/>
              <wp:wrapNone/>
              <wp:docPr id="1888702545" name="Caixa de Texto 5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A3944" w14:textId="3AB39C54" w:rsidR="00BE1017" w:rsidRPr="00BE1017" w:rsidRDefault="00BE1017" w:rsidP="00BE10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0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39AC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INFORMAÇÃO PÚBLICA – PUBLIC INFORMATION" style="position:absolute;left:0;text-align:left;margin-left:0;margin-top:0;width:196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E3A3944" w14:textId="3AB39C54" w:rsidR="00BE1017" w:rsidRPr="00BE1017" w:rsidRDefault="00BE1017" w:rsidP="00BE10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0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41B6" w14:textId="34789DDD" w:rsidR="00535F90" w:rsidRDefault="00BE1017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4CFC1B" wp14:editId="783C5D72">
              <wp:simplePos x="10763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5080" b="0"/>
              <wp:wrapNone/>
              <wp:docPr id="106647228" name="Caixa de Texto 6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15853" w14:textId="6AF643A3" w:rsidR="00BE1017" w:rsidRPr="00BE1017" w:rsidRDefault="00BE1017" w:rsidP="00BE10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0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CFC1B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INFORMAÇÃO PÚBLICA – PUBLIC INFORMATION" style="position:absolute;left:0;text-align:left;margin-left:0;margin-top:0;width:196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2SJNQewZPJuBLAv5X778BQAA//8DAFBLAQItABQABgAIAAAAIQC2gziS/gAAAOEBAAATAAAA&#10;AAAAAAAAAAAAAAAAAABbQ29udGVudF9UeXBlc10ueG1sUEsBAi0AFAAGAAgAAAAhADj9If/WAAAA&#10;lAEAAAsAAAAAAAAAAAAAAAAALwEAAF9yZWxzLy5yZWxzUEsBAi0AFAAGAAgAAAAhAGOOtOgPAgAA&#10;HQQAAA4AAAAAAAAAAAAAAAAALgIAAGRycy9lMm9Eb2MueG1sUEsBAi0AFAAGAAgAAAAhAF9XSVL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915853" w14:textId="6AF643A3" w:rsidR="00BE1017" w:rsidRPr="00BE1017" w:rsidRDefault="00BE1017" w:rsidP="00BE10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0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3CBB" w14:textId="78484871" w:rsidR="00535F90" w:rsidRDefault="00BE1017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101802" wp14:editId="5CAC6C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490470" cy="345440"/>
              <wp:effectExtent l="0" t="0" r="5080" b="0"/>
              <wp:wrapNone/>
              <wp:docPr id="1016508920" name="Caixa de Texto 4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3CEAF" w14:textId="567D03C9" w:rsidR="00BE1017" w:rsidRPr="00BE1017" w:rsidRDefault="00BE1017" w:rsidP="00BE10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0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01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INFORMAÇÃO PÚBLICA – PUBLIC INFORMATION" style="position:absolute;left:0;text-align:left;margin-left:0;margin-top:0;width:196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fZ&#10;Ik1B7Bk8m4EsC/lfvvwFAAD//wMAUEsBAi0AFAAGAAgAAAAhALaDOJL+AAAA4QEAABMAAAAAAAAA&#10;AAAAAAAAAAAAAFtDb250ZW50X1R5cGVzXS54bWxQSwECLQAUAAYACAAAACEAOP0h/9YAAACUAQAA&#10;CwAAAAAAAAAAAAAAAAAvAQAAX3JlbHMvLnJlbHNQSwECLQAUAAYACAAAACEA8AfgOgsCAAAWBAAA&#10;DgAAAAAAAAAAAAAAAAAuAgAAZHJzL2Uyb0RvYy54bWxQSwECLQAUAAYACAAAACEAX1dJU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8E3CEAF" w14:textId="567D03C9" w:rsidR="00BE1017" w:rsidRPr="00BE1017" w:rsidRDefault="00BE1017" w:rsidP="00BE10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0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F237" w14:textId="77777777" w:rsidR="00535F90" w:rsidRDefault="00535F90" w:rsidP="00535F90">
      <w:r>
        <w:separator/>
      </w:r>
    </w:p>
  </w:footnote>
  <w:footnote w:type="continuationSeparator" w:id="0">
    <w:p w14:paraId="4B64935C" w14:textId="77777777" w:rsidR="00535F90" w:rsidRDefault="00535F90" w:rsidP="0053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8E718"/>
    <w:multiLevelType w:val="hybridMultilevel"/>
    <w:tmpl w:val="52D41A44"/>
    <w:lvl w:ilvl="0" w:tplc="CBA64A10">
      <w:start w:val="1"/>
      <w:numFmt w:val="decimal"/>
      <w:lvlText w:val="%1."/>
      <w:lvlJc w:val="left"/>
      <w:pPr>
        <w:ind w:left="720" w:hanging="360"/>
      </w:pPr>
    </w:lvl>
    <w:lvl w:ilvl="1" w:tplc="A580D244">
      <w:start w:val="1"/>
      <w:numFmt w:val="lowerLetter"/>
      <w:lvlText w:val="%2."/>
      <w:lvlJc w:val="left"/>
      <w:pPr>
        <w:ind w:left="1440" w:hanging="360"/>
      </w:pPr>
    </w:lvl>
    <w:lvl w:ilvl="2" w:tplc="15B2C7BA">
      <w:start w:val="1"/>
      <w:numFmt w:val="lowerRoman"/>
      <w:lvlText w:val="%3."/>
      <w:lvlJc w:val="right"/>
      <w:pPr>
        <w:ind w:left="2160" w:hanging="180"/>
      </w:pPr>
    </w:lvl>
    <w:lvl w:ilvl="3" w:tplc="D0528FD8">
      <w:start w:val="1"/>
      <w:numFmt w:val="decimal"/>
      <w:lvlText w:val="%4."/>
      <w:lvlJc w:val="left"/>
      <w:pPr>
        <w:ind w:left="2880" w:hanging="360"/>
      </w:pPr>
    </w:lvl>
    <w:lvl w:ilvl="4" w:tplc="E0965E00">
      <w:start w:val="1"/>
      <w:numFmt w:val="lowerLetter"/>
      <w:lvlText w:val="%5."/>
      <w:lvlJc w:val="left"/>
      <w:pPr>
        <w:ind w:left="3600" w:hanging="360"/>
      </w:pPr>
    </w:lvl>
    <w:lvl w:ilvl="5" w:tplc="BC72D3AC">
      <w:start w:val="1"/>
      <w:numFmt w:val="lowerRoman"/>
      <w:lvlText w:val="%6."/>
      <w:lvlJc w:val="right"/>
      <w:pPr>
        <w:ind w:left="4320" w:hanging="180"/>
      </w:pPr>
    </w:lvl>
    <w:lvl w:ilvl="6" w:tplc="0630D730">
      <w:start w:val="1"/>
      <w:numFmt w:val="decimal"/>
      <w:lvlText w:val="%7."/>
      <w:lvlJc w:val="left"/>
      <w:pPr>
        <w:ind w:left="5040" w:hanging="360"/>
      </w:pPr>
    </w:lvl>
    <w:lvl w:ilvl="7" w:tplc="D6DA1666">
      <w:start w:val="1"/>
      <w:numFmt w:val="lowerLetter"/>
      <w:lvlText w:val="%8."/>
      <w:lvlJc w:val="left"/>
      <w:pPr>
        <w:ind w:left="5760" w:hanging="360"/>
      </w:pPr>
    </w:lvl>
    <w:lvl w:ilvl="8" w:tplc="A9CCA4E8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8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90"/>
    <w:rsid w:val="004F3119"/>
    <w:rsid w:val="00535F90"/>
    <w:rsid w:val="00A23C4F"/>
    <w:rsid w:val="00AC13FD"/>
    <w:rsid w:val="00BE1017"/>
    <w:rsid w:val="00D75955"/>
    <w:rsid w:val="00D8336F"/>
    <w:rsid w:val="00E3386E"/>
    <w:rsid w:val="00F0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4F7D"/>
  <w15:chartTrackingRefBased/>
  <w15:docId w15:val="{D56091DE-4AEE-48FF-B083-5564CC9C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90"/>
    <w:pPr>
      <w:spacing w:after="0" w:line="240" w:lineRule="auto"/>
      <w:jc w:val="both"/>
    </w:pPr>
    <w:rPr>
      <w:color w:val="000000" w:themeColor="text1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3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5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5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5F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F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F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F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5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5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5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5F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5F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5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5F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5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5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5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5F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F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5F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5F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5F90"/>
    <w:rPr>
      <w:b/>
      <w:bCs/>
      <w:smallCaps/>
      <w:color w:val="0F4761" w:themeColor="accent1" w:themeShade="BF"/>
      <w:spacing w:val="5"/>
    </w:rPr>
  </w:style>
  <w:style w:type="paragraph" w:customStyle="1" w:styleId="Pargrafo">
    <w:name w:val="Parágrafo"/>
    <w:basedOn w:val="Normal"/>
    <w:link w:val="PargrafoChar"/>
    <w:qFormat/>
    <w:locked/>
    <w:rsid w:val="00535F90"/>
    <w:pPr>
      <w:spacing w:before="240" w:after="240" w:line="360" w:lineRule="auto"/>
    </w:pPr>
    <w:rPr>
      <w:szCs w:val="24"/>
      <w:lang w:val="en-US"/>
    </w:rPr>
  </w:style>
  <w:style w:type="character" w:customStyle="1" w:styleId="PargrafoChar">
    <w:name w:val="Parágrafo Char"/>
    <w:basedOn w:val="Fontepargpadro"/>
    <w:link w:val="Pargrafo"/>
    <w:rsid w:val="00535F90"/>
    <w:rPr>
      <w:color w:val="000000" w:themeColor="text1"/>
      <w:kern w:val="0"/>
      <w:lang w:val="en-US"/>
      <w14:ligatures w14:val="none"/>
    </w:rPr>
  </w:style>
  <w:style w:type="paragraph" w:customStyle="1" w:styleId="DataeNDocumento">
    <w:name w:val="//Data e Nº Documento"/>
    <w:basedOn w:val="Normal"/>
    <w:link w:val="DataeNDocumentoChar"/>
    <w:qFormat/>
    <w:rsid w:val="00535F90"/>
    <w:rPr>
      <w:sz w:val="20"/>
    </w:rPr>
  </w:style>
  <w:style w:type="character" w:customStyle="1" w:styleId="DataeNDocumentoChar">
    <w:name w:val="//Data e Nº Documento Char"/>
    <w:basedOn w:val="Fontepargpadro"/>
    <w:link w:val="DataeNDocumento"/>
    <w:rsid w:val="00535F90"/>
    <w:rPr>
      <w:color w:val="000000" w:themeColor="text1"/>
      <w:kern w:val="0"/>
      <w:sz w:val="2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35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F90"/>
    <w:rPr>
      <w:color w:val="000000" w:themeColor="text1"/>
      <w:kern w:val="0"/>
      <w:szCs w:val="22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BE10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1017"/>
    <w:rPr>
      <w:color w:val="000000" w:themeColor="text1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828e72b-e531-4a93-b6e1-4cba36a7be73}" enabled="1" method="Privileged" siteId="{f9cfd8cb-c4a5-4677-b65d-3150dda310c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Luis Martins Da Silva</dc:creator>
  <cp:keywords/>
  <dc:description/>
  <cp:lastModifiedBy>Danilo Luis Martins Da Silva</cp:lastModifiedBy>
  <cp:revision>3</cp:revision>
  <dcterms:created xsi:type="dcterms:W3CDTF">2025-08-22T20:48:00Z</dcterms:created>
  <dcterms:modified xsi:type="dcterms:W3CDTF">2025-08-22T21:28:00Z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3c96b1f8,70935051,65b4ebc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PÚBLICA – PUBLIC INFORMATION</vt:lpwstr>
  </property>
</Properties>
</file>